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109F" w14:textId="77777777" w:rsidR="00DA3605" w:rsidRPr="00DA3605" w:rsidRDefault="00DA3605" w:rsidP="00143202">
      <w:pPr>
        <w:widowControl w:val="0"/>
        <w:tabs>
          <w:tab w:val="left" w:pos="9825"/>
        </w:tabs>
        <w:suppressAutoHyphens/>
        <w:ind w:left="6521" w:right="-142" w:firstLine="142"/>
        <w:rPr>
          <w:rFonts w:ascii="Times New Roman" w:eastAsia="Times New Roman" w:hAnsi="Times New Roman" w:cs="Times New Roman"/>
          <w:bCs/>
          <w:sz w:val="24"/>
          <w:szCs w:val="24"/>
          <w:lang w:val="lt-LT"/>
          <w14:ligatures w14:val="none"/>
        </w:rPr>
      </w:pPr>
      <w:r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PATVIRTINTA</w:t>
      </w:r>
    </w:p>
    <w:p w14:paraId="5BB87AE7" w14:textId="77777777" w:rsidR="00DA3605" w:rsidRPr="00DA3605" w:rsidRDefault="00DA3605" w:rsidP="00143202">
      <w:pPr>
        <w:widowControl w:val="0"/>
        <w:tabs>
          <w:tab w:val="left" w:pos="9825"/>
        </w:tabs>
        <w:suppressAutoHyphens/>
        <w:ind w:left="6521" w:right="-142" w:firstLine="14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Elektrėnų savivaldybės</w:t>
      </w:r>
    </w:p>
    <w:p w14:paraId="4F4FD346" w14:textId="0974F8C4" w:rsidR="00DA3605" w:rsidRPr="00DA3605" w:rsidRDefault="00143202" w:rsidP="00143202">
      <w:pPr>
        <w:widowControl w:val="0"/>
        <w:tabs>
          <w:tab w:val="left" w:pos="6420"/>
          <w:tab w:val="left" w:pos="9825"/>
        </w:tabs>
        <w:suppressAutoHyphens/>
        <w:ind w:left="6521" w:right="-142" w:firstLine="14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a</w:t>
      </w:r>
      <w:r w:rsidR="00DA3605"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dministracijos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 xml:space="preserve"> </w:t>
      </w:r>
      <w:r w:rsidR="00DA3605"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direktoriaus</w:t>
      </w:r>
    </w:p>
    <w:p w14:paraId="4468F8B9" w14:textId="591BC846" w:rsidR="00DA3605" w:rsidRPr="00DA3605" w:rsidRDefault="00DA3605" w:rsidP="00143202">
      <w:pPr>
        <w:widowControl w:val="0"/>
        <w:tabs>
          <w:tab w:val="left" w:pos="6420"/>
          <w:tab w:val="left" w:pos="9825"/>
        </w:tabs>
        <w:suppressAutoHyphens/>
        <w:ind w:left="6521" w:right="-142" w:firstLine="14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 xml:space="preserve">2023 m. </w:t>
      </w:r>
      <w:r w:rsidR="004902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birželio</w:t>
      </w:r>
      <w:r w:rsidR="00143202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 xml:space="preserve"> 29</w:t>
      </w:r>
      <w:r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 xml:space="preserve"> d. </w:t>
      </w:r>
    </w:p>
    <w:p w14:paraId="0A1AB850" w14:textId="6C32F112" w:rsidR="00DA3605" w:rsidRPr="00DA3605" w:rsidRDefault="00DA3605" w:rsidP="00143202">
      <w:pPr>
        <w:widowControl w:val="0"/>
        <w:tabs>
          <w:tab w:val="left" w:pos="6420"/>
          <w:tab w:val="left" w:pos="9825"/>
        </w:tabs>
        <w:suppressAutoHyphens/>
        <w:ind w:left="6521" w:right="-142" w:firstLine="14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įsakymu Nr. 03V-</w:t>
      </w:r>
      <w:r w:rsidR="00143202">
        <w:rPr>
          <w:rFonts w:ascii="Times New Roman" w:eastAsia="Times New Roman" w:hAnsi="Times New Roman" w:cs="Times New Roman"/>
          <w:bCs/>
          <w:kern w:val="1"/>
          <w:sz w:val="24"/>
          <w:szCs w:val="24"/>
          <w:lang w:val="lt-LT"/>
          <w14:ligatures w14:val="none"/>
        </w:rPr>
        <w:t>204</w:t>
      </w:r>
    </w:p>
    <w:p w14:paraId="3E1D8624" w14:textId="77777777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</w:p>
    <w:p w14:paraId="0DAFEBF2" w14:textId="77777777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ŠVIETIMO, KULTŪROS IR SPORTO SKYRIAUS</w:t>
      </w:r>
    </w:p>
    <w:p w14:paraId="2A85618E" w14:textId="6282E73C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VYRIAUSIOJO SPECIALISTO</w:t>
      </w:r>
      <w:r w:rsidR="003F079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t-LT"/>
          <w14:ligatures w14:val="none"/>
        </w:rPr>
        <w:t xml:space="preserve"> </w:t>
      </w: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PAREIGYBĖS APRAŠYMAS</w:t>
      </w:r>
    </w:p>
    <w:p w14:paraId="59FC57C1" w14:textId="77777777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I SKYRIUS</w:t>
      </w:r>
    </w:p>
    <w:p w14:paraId="40BF78C8" w14:textId="77777777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PAREIGYBĖ</w:t>
      </w:r>
    </w:p>
    <w:p w14:paraId="0C895931" w14:textId="77777777" w:rsidR="00DA3605" w:rsidRPr="00DA3605" w:rsidRDefault="00DA3605" w:rsidP="00DA3605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0C2F59B0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1. </w:t>
      </w:r>
      <w:bookmarkStart w:id="0" w:name="_Hlk83022548"/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Švietimo, kultūros ir sporto skyriaus </w:t>
      </w:r>
      <w:bookmarkEnd w:id="0"/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vyriausiasis specialistas yra darbuotojas, dirbantis pagal darbo sutartį. Pareigybės grupė – </w:t>
      </w:r>
      <w:r w:rsidRPr="00DA360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lt-LT"/>
          <w14:ligatures w14:val="none"/>
        </w:rPr>
        <w:t>specialistai.</w:t>
      </w: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 xml:space="preserve"> Vyriausiasis specialistas tiesiogiai pavaldus Švietimo, kultūros ir sporto skyriaus vedėjui. </w:t>
      </w:r>
    </w:p>
    <w:p w14:paraId="0F9060D9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2. Pareigybės lygis – A2.</w:t>
      </w:r>
    </w:p>
    <w:p w14:paraId="229B0325" w14:textId="77777777" w:rsidR="00DA3605" w:rsidRPr="00DA3605" w:rsidRDefault="00DA3605" w:rsidP="00DA3605">
      <w:pPr>
        <w:widowControl w:val="0"/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t-LT"/>
          <w14:ligatures w14:val="none"/>
        </w:rPr>
        <w:t>II SKYRIUS</w:t>
      </w:r>
    </w:p>
    <w:p w14:paraId="2FD47131" w14:textId="77777777" w:rsidR="00DA3605" w:rsidRPr="00DA3605" w:rsidRDefault="00DA3605" w:rsidP="00DA3605">
      <w:pPr>
        <w:widowControl w:val="0"/>
        <w:suppressAutoHyphens/>
        <w:spacing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t-LT"/>
          <w14:ligatures w14:val="none"/>
        </w:rPr>
        <w:t>SPECIALŪS REIKALAVIMAI ŠIAS PAREIGAS EINANČIAM DARBUOTOJUI</w:t>
      </w:r>
    </w:p>
    <w:p w14:paraId="04073AF9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</w:pPr>
    </w:p>
    <w:p w14:paraId="246E1197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3. Darbuotojas, einantis šias pareigas, turi atitikti šiuos specialius reikalavimus:</w:t>
      </w:r>
    </w:p>
    <w:p w14:paraId="2DA58B00" w14:textId="6C22C2BE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lt-LT"/>
          <w14:ligatures w14:val="none"/>
        </w:rPr>
        <w:t xml:space="preserve">3.1. </w:t>
      </w:r>
      <w:r w:rsidRPr="00DA3605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val="lt-LT"/>
          <w14:ligatures w14:val="none"/>
        </w:rPr>
        <w:t>turėti ne žemesnį kaip aukštąjį universitetinį išsilavinimą su bakalauro kvalifikaciniu laipsniu ar jam prilygintą išsilavinimą arba aukštąjį koleginį išsilavinimą su profesinio bakalauro kvalifikaciniu laipsniu ar jam prilygintą išsilavinimą</w:t>
      </w:r>
      <w:r w:rsidR="00CB1C10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val="lt-LT"/>
          <w14:ligatures w14:val="none"/>
        </w:rPr>
        <w:t>, aukštąjį universitetinį arba jam prilygintą išsilavinimą;</w:t>
      </w:r>
    </w:p>
    <w:p w14:paraId="42D23ADE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lt-LT"/>
          <w14:ligatures w14:val="none"/>
        </w:rPr>
        <w:t xml:space="preserve">3.2. </w:t>
      </w:r>
      <w:r w:rsidRPr="00DA3605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val="lt-LT"/>
          <w14:ligatures w14:val="none"/>
        </w:rPr>
        <w:t xml:space="preserve">turėti ne mažesnę kaip 1 metų organizacinio darbo patirtį sporto arba švietimo srityse; </w:t>
      </w:r>
    </w:p>
    <w:p w14:paraId="16293583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3.3. būti susipažinęs ir išmanyti Lietuvos Respublikos įstatymus, kodeksus, Vyriausybės nutarimus ir kitus teisės aktus, reglamentuojančius atliekamas funkcijas;</w:t>
      </w:r>
    </w:p>
    <w:p w14:paraId="45F6946B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3.4. gebėti atlikti teisės aktų analizę, rengti analitinę medžiagą;</w:t>
      </w:r>
    </w:p>
    <w:p w14:paraId="1FA89EB2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3.5. mokėti analizuoti ir apibendrinti informaciją, gebėti sklandžiai dėstyti mintis raštu ir žodžiu;</w:t>
      </w:r>
    </w:p>
    <w:p w14:paraId="22DCD3A1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3.6. mokėti dirbti </w:t>
      </w:r>
      <w:r w:rsidRPr="00DA360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lt-LT"/>
          <w14:ligatures w14:val="none"/>
        </w:rPr>
        <w:t>Microsoft Office</w:t>
      </w: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 programiniu paketu, naudotis internetu, elektroniniu paštu, gebėti naudotis teisės aktų ir kitų dokumentų paieškos sistemomis;</w:t>
      </w:r>
    </w:p>
    <w:p w14:paraId="0CAF8D7A" w14:textId="77777777" w:rsidR="00DA3605" w:rsidRPr="00DA3605" w:rsidRDefault="00DA3605" w:rsidP="00DA3605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t-LT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lt-LT"/>
          <w14:ligatures w14:val="none"/>
        </w:rPr>
        <w:t>3.7. išmanyti ir gebėti taikyti tarnybinės etikos reikalavimus.</w:t>
      </w:r>
    </w:p>
    <w:p w14:paraId="45D32775" w14:textId="77777777" w:rsidR="00DA3605" w:rsidRPr="00DA3605" w:rsidRDefault="00DA3605" w:rsidP="00DA3605">
      <w:pPr>
        <w:widowControl w:val="0"/>
        <w:suppressAutoHyphens/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509D9ECD" w14:textId="77777777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III SKYRIUS</w:t>
      </w:r>
    </w:p>
    <w:p w14:paraId="49E1FC82" w14:textId="77777777" w:rsidR="00DA3605" w:rsidRPr="00DA3605" w:rsidRDefault="00DA3605" w:rsidP="00DA3605">
      <w:pPr>
        <w:keepNext/>
        <w:widowControl w:val="0"/>
        <w:tabs>
          <w:tab w:val="num" w:pos="432"/>
        </w:tabs>
        <w:suppressAutoHyphens/>
        <w:spacing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ŠIAS PAREIGAS EINANČIO DARBUOTOJO FUNKCIJOS</w:t>
      </w:r>
    </w:p>
    <w:p w14:paraId="7DA0DF7D" w14:textId="77777777" w:rsidR="00DA3605" w:rsidRPr="00DA3605" w:rsidRDefault="00DA3605" w:rsidP="00DA3605">
      <w:pPr>
        <w:widowControl w:val="0"/>
        <w:suppressAutoHyphens/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1FAABD91" w14:textId="77777777" w:rsidR="00DA3605" w:rsidRPr="00DA3605" w:rsidRDefault="00DA3605" w:rsidP="00DA3605">
      <w:pPr>
        <w:keepNext/>
        <w:widowControl w:val="0"/>
        <w:suppressAutoHyphens/>
        <w:spacing w:line="276" w:lineRule="auto"/>
        <w:jc w:val="both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  <w:r w:rsidRPr="00DA3605"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  <w:t>4. Šias pareigas einantis darbuotojas vykdo šias funkcijas: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A3605" w:rsidRPr="00DA3605" w14:paraId="64CA4557" w14:textId="77777777" w:rsidTr="00B94162">
        <w:tc>
          <w:tcPr>
            <w:tcW w:w="9356" w:type="dxa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"/>
              <w:gridCol w:w="12"/>
              <w:gridCol w:w="9197"/>
              <w:gridCol w:w="19"/>
              <w:gridCol w:w="249"/>
            </w:tblGrid>
            <w:tr w:rsidR="00DA3605" w:rsidRPr="00DA3605" w14:paraId="70A2F46F" w14:textId="77777777" w:rsidTr="00B94162">
              <w:tc>
                <w:tcPr>
                  <w:tcW w:w="9498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3605" w:rsidRPr="00DA3605" w14:paraId="01EA348D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372097" w14:textId="5626AAD8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 xml:space="preserve">4.1. </w:t>
                        </w:r>
                        <w:r w:rsidR="003F0794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>renka, sistemina informaciją apie sportinės veiklos vykdymą, aktualumą, organizavimą Elektrėnų savivaldybėje, teikia pastabas, siūlymus Skyriaus vedėjui</w:t>
                        </w: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>;</w:t>
                        </w:r>
                      </w:p>
                    </w:tc>
                  </w:tr>
                  <w:tr w:rsidR="00DA3605" w:rsidRPr="00DA3605" w14:paraId="2E0BA0EA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EEA3B9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>4.2. konsultuoja priskirtos srities klausimais;</w:t>
                        </w:r>
                      </w:p>
                    </w:tc>
                  </w:tr>
                  <w:tr w:rsidR="00DA3605" w:rsidRPr="00DA3605" w14:paraId="32A66E9F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28FE0A" w14:textId="12A206F1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 xml:space="preserve">4.3. nagrinėja prašymus dėl </w:t>
                        </w:r>
                        <w:r w:rsidR="003F0794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>sporto veiklų vykdymo, dalyvauja sportinių švenčių organizavimo procese, sveikatinimo programose kartu su Elektrėnų visuomenės sveikatos biuru,</w:t>
                        </w: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 xml:space="preserve"> </w:t>
                        </w:r>
                        <w:r w:rsidR="003F0794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lastRenderedPageBreak/>
                          <w:t>bendradarbiauja su ugdymo, įstaigomis, dalyvauja sportinių varžybų Elektrėnų savivaldybės ugdymo įstaigose organizavimo procese;</w:t>
                        </w:r>
                      </w:p>
                    </w:tc>
                  </w:tr>
                  <w:tr w:rsidR="00DA3605" w:rsidRPr="00DA3605" w14:paraId="1B55672B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EE8AF3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lastRenderedPageBreak/>
                          <w:t>4.4. dalyvauja rengiant teisės aktų projektus ir prireikus rengia dokumentus pagal kompetenciją;</w:t>
                        </w:r>
                      </w:p>
                    </w:tc>
                  </w:tr>
                  <w:tr w:rsidR="00DA3605" w:rsidRPr="00DA3605" w14:paraId="2681AAE6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639CC3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>4.5. kuruoja padalinio vadovo priskirtas savivaldybės sporto įstaigas;</w:t>
                        </w:r>
                      </w:p>
                    </w:tc>
                  </w:tr>
                  <w:tr w:rsidR="00DA3605" w:rsidRPr="00DA3605" w14:paraId="4CAE865B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860D06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0"/>
                            <w:lang w:val="lt-LT"/>
                            <w14:ligatures w14:val="none"/>
                          </w:rPr>
                          <w:t>4.6. rengia ir padeda įgyvendinti sporto rėmimo programas, koordinuoja jų vykdymą;</w:t>
                        </w:r>
                      </w:p>
                    </w:tc>
                  </w:tr>
                  <w:tr w:rsidR="00DA3605" w:rsidRPr="00DA3605" w14:paraId="6ADAE356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652F77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  <w:t>4.7. skatina ir remia bendruomenių ir nevyriausybinių organizacijų sporto programas;</w:t>
                        </w:r>
                      </w:p>
                    </w:tc>
                  </w:tr>
                  <w:tr w:rsidR="00DA3605" w:rsidRPr="00DA3605" w14:paraId="246BDE9D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5044CA" w14:textId="77777777" w:rsidR="00DA3605" w:rsidRPr="00DA3605" w:rsidRDefault="00DA3605" w:rsidP="00DA3605">
                        <w:pPr>
                          <w:widowControl w:val="0"/>
                          <w:shd w:val="clear" w:color="auto" w:fill="FFFFFF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  <w:t>4.8. koordinuoja savivaldybės teritorijoje vykstančius sporto renginius ir varžybas, rūpinasi sporto pasiekimų informacine sklaida;</w:t>
                        </w:r>
                      </w:p>
                    </w:tc>
                  </w:tr>
                  <w:tr w:rsidR="00DA3605" w:rsidRPr="00DA3605" w14:paraId="6F37E0AD" w14:textId="77777777" w:rsidTr="00B94162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tbl>
                        <w:tblPr>
                          <w:tblW w:w="916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69"/>
                        </w:tblGrid>
                        <w:tr w:rsidR="00DA3605" w:rsidRPr="00DA3605" w14:paraId="4AC2168E" w14:textId="77777777" w:rsidTr="00B94162">
                          <w:trPr>
                            <w:trHeight w:val="260"/>
                          </w:trPr>
                          <w:tc>
                            <w:tcPr>
                              <w:tcW w:w="91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47EFB8" w14:textId="77777777" w:rsidR="00DA3605" w:rsidRPr="00DA3605" w:rsidRDefault="00DA3605" w:rsidP="00DA3605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</w:pPr>
                              <w:r w:rsidRPr="00DA3605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  <w:t>4.9. bendradarbiauja su sporto įstaigomis, klubais, nevyriausybinėmis organizacijomis, vykdančiomis sportinę veiklą;</w:t>
                              </w:r>
                            </w:p>
                            <w:p w14:paraId="37C45902" w14:textId="77777777" w:rsidR="00DA3605" w:rsidRPr="00DA3605" w:rsidRDefault="00DA3605" w:rsidP="00DA3605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</w:pPr>
                              <w:r w:rsidRPr="00DA3605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  <w:t>4.10. bendradarbiauja su bendrojo ugdymo ir neformaliojo švietimo mokyklomis, kitomis įstaigomis, kūno kultūros, sveikatos organizacijomis, sporto klubais, organizuojančiais sporto renginius;</w:t>
                              </w:r>
                            </w:p>
                            <w:p w14:paraId="0297828A" w14:textId="77777777" w:rsidR="00DA3605" w:rsidRPr="00DA3605" w:rsidRDefault="00DA3605" w:rsidP="00DA3605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</w:pPr>
                              <w:r w:rsidRPr="00DA3605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  <w:t>4.11. dalyvauja komisijų ir darbo grupių, kurių nariu paskirtas, darbe;</w:t>
                              </w:r>
                            </w:p>
                            <w:p w14:paraId="09778F53" w14:textId="77777777" w:rsidR="00DA3605" w:rsidRPr="00DA3605" w:rsidRDefault="00DA3605" w:rsidP="00DA3605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line="276" w:lineRule="auto"/>
                                <w:ind w:right="-78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</w:pPr>
                              <w:r w:rsidRPr="00DA3605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:lang w:val="lt-LT"/>
                                  <w14:ligatures w14:val="none"/>
                                </w:rPr>
                                <w:t>4.12. vykdo kitus nenuolatinio pobūdžio su struktūrinio padalinio veikla susijusius pavedimus.</w:t>
                              </w:r>
                            </w:p>
                          </w:tc>
                        </w:tr>
                      </w:tbl>
                      <w:p w14:paraId="12E82749" w14:textId="77777777" w:rsidR="00DA3605" w:rsidRPr="00DA3605" w:rsidRDefault="00DA3605" w:rsidP="00DA3605">
                        <w:pPr>
                          <w:widowControl w:val="0"/>
                          <w:shd w:val="clear" w:color="auto" w:fill="FFFFFF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</w:pPr>
                      </w:p>
                    </w:tc>
                  </w:tr>
                </w:tbl>
                <w:p w14:paraId="4DB33FCA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</w:pPr>
                  <w:r w:rsidRPr="00DA3605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  <w:t xml:space="preserve">                                                         _____________________________________________</w:t>
                  </w:r>
                </w:p>
              </w:tc>
            </w:tr>
            <w:tr w:rsidR="00DA3605" w:rsidRPr="00DA3605" w14:paraId="52BD6965" w14:textId="77777777" w:rsidTr="00B94162">
              <w:trPr>
                <w:gridAfter w:val="1"/>
                <w:wAfter w:w="249" w:type="dxa"/>
                <w:trHeight w:val="20"/>
              </w:trPr>
              <w:tc>
                <w:tcPr>
                  <w:tcW w:w="21" w:type="dxa"/>
                </w:tcPr>
                <w:p w14:paraId="36882E2D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:lang w:val="lt-LT"/>
                      <w14:ligatures w14:val="none"/>
                    </w:rPr>
                  </w:pPr>
                  <w:r w:rsidRPr="00DA3605"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:lang w:val="lt-LT"/>
                      <w14:ligatures w14:val="none"/>
                    </w:rPr>
                    <w:lastRenderedPageBreak/>
                    <w:t>..</w:t>
                  </w:r>
                </w:p>
              </w:tc>
              <w:tc>
                <w:tcPr>
                  <w:tcW w:w="12" w:type="dxa"/>
                </w:tcPr>
                <w:p w14:paraId="216044E6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:lang w:val="lt-LT"/>
                      <w14:ligatures w14:val="none"/>
                    </w:rPr>
                  </w:pPr>
                </w:p>
              </w:tc>
              <w:tc>
                <w:tcPr>
                  <w:tcW w:w="9197" w:type="dxa"/>
                </w:tcPr>
                <w:p w14:paraId="053FE926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:lang w:val="lt-LT"/>
                      <w14:ligatures w14:val="none"/>
                    </w:rPr>
                  </w:pPr>
                </w:p>
              </w:tc>
              <w:tc>
                <w:tcPr>
                  <w:tcW w:w="19" w:type="dxa"/>
                </w:tcPr>
                <w:p w14:paraId="7FE0161E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:lang w:val="lt-LT"/>
                      <w14:ligatures w14:val="none"/>
                    </w:rPr>
                  </w:pPr>
                </w:p>
              </w:tc>
            </w:tr>
            <w:tr w:rsidR="00DA3605" w:rsidRPr="00DA3605" w14:paraId="46A6A5EA" w14:textId="77777777" w:rsidTr="00B94162">
              <w:trPr>
                <w:gridAfter w:val="1"/>
                <w:wAfter w:w="249" w:type="dxa"/>
              </w:trPr>
              <w:tc>
                <w:tcPr>
                  <w:tcW w:w="9249" w:type="dxa"/>
                  <w:gridSpan w:val="4"/>
                </w:tcPr>
                <w:p w14:paraId="47812221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</w:pPr>
                </w:p>
                <w:p w14:paraId="40072F0B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  <w:gridCol w:w="10"/>
                  </w:tblGrid>
                  <w:tr w:rsidR="00DA3605" w:rsidRPr="00DA3605" w14:paraId="3B5FA4E1" w14:textId="77777777" w:rsidTr="00B94162">
                    <w:trPr>
                      <w:gridAfter w:val="1"/>
                      <w:wAfter w:w="10" w:type="dxa"/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A497C7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</w:pPr>
                      </w:p>
                    </w:tc>
                  </w:tr>
                  <w:tr w:rsidR="00DA3605" w:rsidRPr="00DA3605" w14:paraId="7A29F729" w14:textId="77777777" w:rsidTr="00B94162">
                    <w:trPr>
                      <w:gridAfter w:val="1"/>
                      <w:wAfter w:w="10" w:type="dxa"/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4521AE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  <w:t xml:space="preserve">Susipažinau ir sutinku </w:t>
                        </w:r>
                      </w:p>
                    </w:tc>
                  </w:tr>
                  <w:tr w:rsidR="00DA3605" w:rsidRPr="00DA3605" w14:paraId="755E4D05" w14:textId="77777777" w:rsidTr="00B94162">
                    <w:tc>
                      <w:tcPr>
                        <w:tcW w:w="9080" w:type="dxa"/>
                        <w:gridSpan w:val="2"/>
                      </w:tcPr>
                      <w:p w14:paraId="36FBCFC3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  <w:t>__________________________</w:t>
                        </w:r>
                      </w:p>
                    </w:tc>
                  </w:tr>
                  <w:tr w:rsidR="00DA3605" w:rsidRPr="00DA3605" w14:paraId="301141C7" w14:textId="77777777" w:rsidTr="00B94162">
                    <w:trPr>
                      <w:gridAfter w:val="1"/>
                      <w:wAfter w:w="10" w:type="dxa"/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BDA936" w14:textId="77777777" w:rsidR="00DA3605" w:rsidRPr="00DA3605" w:rsidRDefault="00DA3605" w:rsidP="00DA3605">
                        <w:pPr>
                          <w:widowControl w:val="0"/>
                          <w:suppressAutoHyphens/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</w:pPr>
                        <w:r w:rsidRPr="00DA36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  <w:t xml:space="preserve"> </w:t>
                        </w:r>
                        <w:r w:rsidRPr="00DA3605"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  <w:lang w:val="lt-LT"/>
                            <w14:ligatures w14:val="none"/>
                          </w:rPr>
                          <w:t>(parašas)</w:t>
                        </w:r>
                      </w:p>
                    </w:tc>
                  </w:tr>
                </w:tbl>
                <w:p w14:paraId="21153BDF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</w:pPr>
                </w:p>
              </w:tc>
            </w:tr>
          </w:tbl>
          <w:p w14:paraId="0237DBED" w14:textId="77777777" w:rsidR="00DA3605" w:rsidRPr="00DA3605" w:rsidRDefault="00DA3605" w:rsidP="00DA360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lt-LT"/>
                <w14:ligatures w14:val="none"/>
              </w:rPr>
            </w:pPr>
            <w:r w:rsidRPr="00DA36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lt-LT"/>
                <w14:ligatures w14:val="none"/>
              </w:rPr>
              <w:t>_________________________</w:t>
            </w:r>
          </w:p>
          <w:p w14:paraId="33FCC560" w14:textId="77777777" w:rsidR="00DA3605" w:rsidRPr="00DA3605" w:rsidRDefault="00DA3605" w:rsidP="00DA360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lt-LT"/>
                <w14:ligatures w14:val="none"/>
              </w:rPr>
            </w:pPr>
            <w:r w:rsidRPr="00DA36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lt-LT"/>
                <w14:ligatures w14:val="none"/>
              </w:rPr>
              <w:t xml:space="preserve">  </w:t>
            </w:r>
            <w:r w:rsidRPr="00DA36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t-LT"/>
                <w14:ligatures w14:val="none"/>
              </w:rPr>
              <w:t>(vardas, pavardė)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605" w:rsidRPr="00DA3605" w14:paraId="682D760B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CC926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</w:pPr>
                  <w:r w:rsidRPr="00DA3605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  <w:t>_________________________</w:t>
                  </w:r>
                </w:p>
              </w:tc>
            </w:tr>
            <w:tr w:rsidR="00DA3605" w:rsidRPr="00DA3605" w14:paraId="7DDB2F3D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166987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ind w:firstLine="97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</w:pPr>
                  <w:r w:rsidRPr="00DA3605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lt-LT"/>
                      <w14:ligatures w14:val="none"/>
                    </w:rPr>
                    <w:t xml:space="preserve"> (data)</w:t>
                  </w:r>
                </w:p>
              </w:tc>
            </w:tr>
            <w:tr w:rsidR="00DA3605" w:rsidRPr="00DA3605" w14:paraId="6F401CD8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B03723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</w:pPr>
                </w:p>
              </w:tc>
            </w:tr>
            <w:tr w:rsidR="00DA3605" w:rsidRPr="00DA3605" w14:paraId="44A107F5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9F703A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</w:pPr>
                </w:p>
              </w:tc>
            </w:tr>
            <w:tr w:rsidR="00DA3605" w:rsidRPr="00DA3605" w14:paraId="56B78D2A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BB2641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</w:pPr>
                </w:p>
              </w:tc>
            </w:tr>
            <w:tr w:rsidR="00DA3605" w:rsidRPr="00DA3605" w14:paraId="150FF2E1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AF6058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</w:pPr>
                </w:p>
              </w:tc>
            </w:tr>
            <w:tr w:rsidR="00DA3605" w:rsidRPr="00DA3605" w14:paraId="3AAA002C" w14:textId="77777777" w:rsidTr="00B9416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E54C3A" w14:textId="77777777" w:rsidR="00DA3605" w:rsidRPr="00DA3605" w:rsidRDefault="00DA3605" w:rsidP="00DA3605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lt-LT"/>
                      <w14:ligatures w14:val="none"/>
                    </w:rPr>
                  </w:pPr>
                </w:p>
              </w:tc>
            </w:tr>
          </w:tbl>
          <w:p w14:paraId="26D56D2E" w14:textId="77777777" w:rsidR="00DA3605" w:rsidRPr="00DA3605" w:rsidRDefault="00DA3605" w:rsidP="00DA360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lt-LT"/>
                <w14:ligatures w14:val="none"/>
              </w:rPr>
            </w:pPr>
          </w:p>
        </w:tc>
      </w:tr>
    </w:tbl>
    <w:p w14:paraId="3ED30D52" w14:textId="77777777" w:rsidR="00DA3605" w:rsidRPr="00DA3605" w:rsidRDefault="00DA3605" w:rsidP="00DA3605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sectPr w:rsidR="00DA3605" w:rsidRPr="00DA3605" w:rsidSect="003F0794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5"/>
    <w:rsid w:val="00143202"/>
    <w:rsid w:val="001B0129"/>
    <w:rsid w:val="003730DF"/>
    <w:rsid w:val="003F0794"/>
    <w:rsid w:val="00490217"/>
    <w:rsid w:val="006A51A6"/>
    <w:rsid w:val="00857149"/>
    <w:rsid w:val="00CB1C10"/>
    <w:rsid w:val="00CF0CB5"/>
    <w:rsid w:val="00D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F6F"/>
  <w15:chartTrackingRefBased/>
  <w15:docId w15:val="{8141DC70-3DEB-4F00-AD70-2AC0BC35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Bernotienė</dc:creator>
  <cp:keywords/>
  <dc:description/>
  <cp:lastModifiedBy>Adminas</cp:lastModifiedBy>
  <cp:revision>2</cp:revision>
  <dcterms:created xsi:type="dcterms:W3CDTF">2024-09-23T07:06:00Z</dcterms:created>
  <dcterms:modified xsi:type="dcterms:W3CDTF">2024-09-23T07:06:00Z</dcterms:modified>
</cp:coreProperties>
</file>