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20"/>
        <w:gridCol w:w="20"/>
        <w:gridCol w:w="10151"/>
      </w:tblGrid>
      <w:tr w:rsidR="00377481" w:rsidRPr="00377481" w14:paraId="78CB88C7" w14:textId="77777777" w:rsidTr="00377481">
        <w:tc>
          <w:tcPr>
            <w:tcW w:w="9781" w:type="dxa"/>
            <w:gridSpan w:val="4"/>
            <w:hideMark/>
          </w:tcPr>
          <w:tbl>
            <w:tblPr>
              <w:tblW w:w="102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7"/>
              <w:gridCol w:w="3978"/>
              <w:gridCol w:w="6"/>
            </w:tblGrid>
            <w:tr w:rsidR="00377481" w:rsidRPr="00377481" w14:paraId="3AC65966" w14:textId="77777777">
              <w:trPr>
                <w:gridAfter w:val="1"/>
                <w:wAfter w:w="6" w:type="dxa"/>
                <w:trHeight w:val="260"/>
              </w:trPr>
              <w:tc>
                <w:tcPr>
                  <w:tcW w:w="62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76C7A4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7D59CEB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ind w:left="818"/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PATVIRTINTA </w:t>
                  </w:r>
                </w:p>
                <w:p w14:paraId="18F1C202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ind w:left="818"/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Elektrėnų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savivaldybės</w:t>
                  </w:r>
                  <w:proofErr w:type="spellEnd"/>
                </w:p>
                <w:p w14:paraId="0DAC8A04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ind w:left="818"/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</w:pP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administracijos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direktoriaus</w:t>
                  </w:r>
                  <w:proofErr w:type="spellEnd"/>
                </w:p>
                <w:p w14:paraId="2F377347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ind w:left="818"/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2022 m.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vasario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1 d. </w:t>
                  </w:r>
                </w:p>
                <w:p w14:paraId="7D4E2AA1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ind w:left="818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įsakymu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Nr. 03V-52</w:t>
                  </w:r>
                </w:p>
              </w:tc>
            </w:tr>
            <w:tr w:rsidR="00377481" w:rsidRPr="00377481" w14:paraId="1F6B4C47" w14:textId="77777777">
              <w:trPr>
                <w:trHeight w:val="260"/>
              </w:trPr>
              <w:tc>
                <w:tcPr>
                  <w:tcW w:w="10221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608215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377481" w:rsidRPr="00377481" w14:paraId="020416A7" w14:textId="77777777">
              <w:trPr>
                <w:trHeight w:val="260"/>
              </w:trPr>
              <w:tc>
                <w:tcPr>
                  <w:tcW w:w="10221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25A01CD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ELEKTRĖNŲ SAVIVALDYBĖS ADMINISTRACIJOS</w:t>
                  </w:r>
                </w:p>
              </w:tc>
            </w:tr>
            <w:tr w:rsidR="00377481" w:rsidRPr="00377481" w14:paraId="15B0AB4A" w14:textId="77777777">
              <w:trPr>
                <w:trHeight w:val="260"/>
              </w:trPr>
              <w:tc>
                <w:tcPr>
                  <w:tcW w:w="10221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1E5BDD6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 IR PERSONALO ADMINISTRAVIMO SKYRIAUS</w:t>
                  </w:r>
                </w:p>
              </w:tc>
            </w:tr>
            <w:tr w:rsidR="00377481" w:rsidRPr="00377481" w14:paraId="0822E3E8" w14:textId="77777777">
              <w:trPr>
                <w:trHeight w:val="260"/>
              </w:trPr>
              <w:tc>
                <w:tcPr>
                  <w:tcW w:w="10221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5A7F9B2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VEDĖJO PAVADUOTOJO</w:t>
                  </w:r>
                </w:p>
              </w:tc>
            </w:tr>
            <w:tr w:rsidR="00377481" w:rsidRPr="00377481" w14:paraId="0694F69B" w14:textId="77777777">
              <w:trPr>
                <w:trHeight w:val="260"/>
              </w:trPr>
              <w:tc>
                <w:tcPr>
                  <w:tcW w:w="10221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D8DDE46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PAREIGYBĖS APRAŠYMAS</w:t>
                  </w:r>
                </w:p>
              </w:tc>
            </w:tr>
          </w:tbl>
          <w:p w14:paraId="1BC53D40" w14:textId="77777777" w:rsidR="00377481" w:rsidRPr="00377481" w:rsidRDefault="00377481" w:rsidP="003774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  <w14:ligatures w14:val="none"/>
              </w:rPr>
            </w:pPr>
          </w:p>
        </w:tc>
      </w:tr>
      <w:tr w:rsidR="00377481" w:rsidRPr="00377481" w14:paraId="78AA711C" w14:textId="77777777" w:rsidTr="00377481">
        <w:trPr>
          <w:trHeight w:val="349"/>
        </w:trPr>
        <w:tc>
          <w:tcPr>
            <w:tcW w:w="30" w:type="dxa"/>
          </w:tcPr>
          <w:p w14:paraId="334B33E7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6712F743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5DA4B714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17" w:type="dxa"/>
          </w:tcPr>
          <w:p w14:paraId="13107022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377481" w:rsidRPr="00377481" w14:paraId="72A87EB5" w14:textId="77777777" w:rsidTr="00377481">
        <w:tc>
          <w:tcPr>
            <w:tcW w:w="30" w:type="dxa"/>
          </w:tcPr>
          <w:p w14:paraId="3DC2382E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51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377481" w:rsidRPr="00377481" w14:paraId="3A43CEE7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EF22409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 SKYRIUS</w:t>
                  </w:r>
                </w:p>
                <w:p w14:paraId="0A5D599F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PAREIGYBĖS CHARAKTERISTIKA</w:t>
                  </w:r>
                </w:p>
              </w:tc>
            </w:tr>
            <w:tr w:rsidR="00377481" w:rsidRPr="00377481" w14:paraId="0442E13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66538DA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1.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Pareigybės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lygmuo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–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vyriausiasis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specialistas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(IX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lygmuo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).</w:t>
                  </w:r>
                </w:p>
              </w:tc>
            </w:tr>
            <w:tr w:rsidR="00377481" w:rsidRPr="00377481" w14:paraId="41A1E7D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4C76CB4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2.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Šias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pareigas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einantis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valstybės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tarnautojas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tiesiogiai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pavaldus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Skyriaus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vedėjui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</w:tbl>
          <w:p w14:paraId="7B472021" w14:textId="77777777" w:rsidR="00377481" w:rsidRPr="00377481" w:rsidRDefault="00377481" w:rsidP="003774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  <w14:ligatures w14:val="none"/>
              </w:rPr>
            </w:pPr>
          </w:p>
        </w:tc>
      </w:tr>
      <w:tr w:rsidR="00377481" w:rsidRPr="00377481" w14:paraId="1F267C44" w14:textId="77777777" w:rsidTr="00377481">
        <w:trPr>
          <w:trHeight w:val="120"/>
        </w:trPr>
        <w:tc>
          <w:tcPr>
            <w:tcW w:w="30" w:type="dxa"/>
          </w:tcPr>
          <w:p w14:paraId="4511D52C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582BD6B8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24D9339A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17" w:type="dxa"/>
          </w:tcPr>
          <w:p w14:paraId="3B9D5DDB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377481" w:rsidRPr="00377481" w14:paraId="3E855C51" w14:textId="77777777" w:rsidTr="00377481">
        <w:tc>
          <w:tcPr>
            <w:tcW w:w="30" w:type="dxa"/>
          </w:tcPr>
          <w:p w14:paraId="227A1126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51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377481" w:rsidRPr="00377481" w14:paraId="0F46B5B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FF0AD7B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II SKYRIUS</w:t>
                  </w:r>
                </w:p>
                <w:p w14:paraId="0F3C16E3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VEIKLOS SRITIS</w:t>
                  </w:r>
                  <w:r w:rsidRPr="00377481">
                    <w:rPr>
                      <w:rFonts w:ascii="Times New Roman" w:eastAsia="Lucida Sans Unicode" w:hAnsi="Times New Roman" w:cs="Times New Roman"/>
                      <w:color w:val="FFFFFF"/>
                      <w:sz w:val="24"/>
                      <w:szCs w:val="24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377481" w:rsidRPr="00377481" w14:paraId="47004958" w14:textId="77777777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377481" w:rsidRPr="00377481" w14:paraId="31A8166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6B6109D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3.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Teisė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.</w:t>
                        </w:r>
                      </w:p>
                    </w:tc>
                  </w:tr>
                </w:tbl>
                <w:p w14:paraId="187120B4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</w:tbl>
          <w:p w14:paraId="710A9865" w14:textId="77777777" w:rsidR="00377481" w:rsidRPr="00377481" w:rsidRDefault="00377481" w:rsidP="003774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  <w14:ligatures w14:val="none"/>
              </w:rPr>
            </w:pPr>
          </w:p>
        </w:tc>
      </w:tr>
      <w:tr w:rsidR="00377481" w:rsidRPr="00377481" w14:paraId="070FECF9" w14:textId="77777777" w:rsidTr="00377481">
        <w:trPr>
          <w:trHeight w:val="126"/>
        </w:trPr>
        <w:tc>
          <w:tcPr>
            <w:tcW w:w="30" w:type="dxa"/>
          </w:tcPr>
          <w:p w14:paraId="1D33728F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59BE9756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7FC0B1B4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17" w:type="dxa"/>
          </w:tcPr>
          <w:p w14:paraId="1E6E4313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377481" w:rsidRPr="00377481" w14:paraId="184004B9" w14:textId="77777777" w:rsidTr="00377481">
        <w:tc>
          <w:tcPr>
            <w:tcW w:w="30" w:type="dxa"/>
          </w:tcPr>
          <w:p w14:paraId="0902C15C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51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377481" w:rsidRPr="00377481" w14:paraId="4DD4A71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9C0A30A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III SKYRIUS</w:t>
                  </w:r>
                </w:p>
                <w:p w14:paraId="7E3B8E72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PAREIGYBĖS SPECIALIZACIJA</w:t>
                  </w:r>
                  <w:r w:rsidRPr="00377481">
                    <w:rPr>
                      <w:rFonts w:ascii="Times New Roman" w:eastAsia="Lucida Sans Unicode" w:hAnsi="Times New Roman" w:cs="Times New Roman"/>
                      <w:color w:val="FFFFFF"/>
                      <w:sz w:val="24"/>
                      <w:szCs w:val="24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377481" w:rsidRPr="00377481" w14:paraId="4460927F" w14:textId="77777777">
              <w:trPr>
                <w:trHeight w:val="3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377481" w:rsidRPr="00377481" w14:paraId="3CE7005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21C25E7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4.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Savivaldybės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tarybos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ir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Administracijos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veiklos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teisėtumo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užtikrinimas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.</w:t>
                        </w:r>
                      </w:p>
                    </w:tc>
                  </w:tr>
                </w:tbl>
                <w:p w14:paraId="0505A391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</w:tbl>
          <w:p w14:paraId="47E0DB0B" w14:textId="77777777" w:rsidR="00377481" w:rsidRPr="00377481" w:rsidRDefault="00377481" w:rsidP="003774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  <w14:ligatures w14:val="none"/>
              </w:rPr>
            </w:pPr>
          </w:p>
        </w:tc>
      </w:tr>
      <w:tr w:rsidR="00377481" w:rsidRPr="00377481" w14:paraId="75A26488" w14:textId="77777777" w:rsidTr="00377481">
        <w:trPr>
          <w:trHeight w:val="100"/>
        </w:trPr>
        <w:tc>
          <w:tcPr>
            <w:tcW w:w="30" w:type="dxa"/>
          </w:tcPr>
          <w:p w14:paraId="6B01EADF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439C59A8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60286A8E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17" w:type="dxa"/>
          </w:tcPr>
          <w:p w14:paraId="098CB257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377481" w:rsidRPr="00377481" w14:paraId="141DFD1D" w14:textId="77777777" w:rsidTr="00377481">
        <w:tc>
          <w:tcPr>
            <w:tcW w:w="30" w:type="dxa"/>
          </w:tcPr>
          <w:p w14:paraId="71F7A6B2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44C2ED14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34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377481" w:rsidRPr="00377481" w14:paraId="3E60568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50E0032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IV SKYRIUS</w:t>
                  </w:r>
                </w:p>
                <w:p w14:paraId="052A2F2C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FUNKCIJOS</w:t>
                  </w:r>
                </w:p>
              </w:tc>
            </w:tr>
          </w:tbl>
          <w:p w14:paraId="10E3F440" w14:textId="77777777" w:rsidR="00377481" w:rsidRPr="00377481" w:rsidRDefault="00377481" w:rsidP="003774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  <w14:ligatures w14:val="none"/>
              </w:rPr>
            </w:pPr>
          </w:p>
        </w:tc>
      </w:tr>
      <w:tr w:rsidR="00377481" w:rsidRPr="00377481" w14:paraId="4180BD3D" w14:textId="77777777" w:rsidTr="00377481">
        <w:trPr>
          <w:trHeight w:val="39"/>
        </w:trPr>
        <w:tc>
          <w:tcPr>
            <w:tcW w:w="30" w:type="dxa"/>
          </w:tcPr>
          <w:p w14:paraId="5D840E69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2E29B9EC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11CE5C2B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17" w:type="dxa"/>
          </w:tcPr>
          <w:p w14:paraId="34B29166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377481" w:rsidRPr="00377481" w14:paraId="5A9DB4FD" w14:textId="77777777" w:rsidTr="00377481">
        <w:tc>
          <w:tcPr>
            <w:tcW w:w="30" w:type="dxa"/>
          </w:tcPr>
          <w:p w14:paraId="02E89612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51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6"/>
            </w:tblGrid>
            <w:tr w:rsidR="00377481" w:rsidRPr="00377481" w14:paraId="20A13097" w14:textId="77777777">
              <w:trPr>
                <w:trHeight w:val="260"/>
              </w:trPr>
              <w:tc>
                <w:tcPr>
                  <w:tcW w:w="932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FD1D9E7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5.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Apdoroja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informaciją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informacijos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apdorojimą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377481" w:rsidRPr="00377481" w14:paraId="24E9FC9B" w14:textId="77777777">
              <w:trPr>
                <w:trHeight w:val="260"/>
              </w:trPr>
              <w:tc>
                <w:tcPr>
                  <w:tcW w:w="932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2D1C7C7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6.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Atlieka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aktų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dokumentų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nuostatų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įgyvendinimo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stebėseną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analizę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vertinimą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aktų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dokumentų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nuostatų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įgyvendinimo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stebėseną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analizę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vertinimą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377481" w:rsidRPr="00377481" w14:paraId="0B6DE297" w14:textId="77777777">
              <w:trPr>
                <w:trHeight w:val="260"/>
              </w:trPr>
              <w:tc>
                <w:tcPr>
                  <w:tcW w:w="932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F8C7B95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7.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Atstovauja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įstaigos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interesams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teismuose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institucijose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įstaigose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bei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organizacijose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atstovavimą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įstaigos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interesams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teismuose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institucijose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įstaigose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bei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organizacijose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rengia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dokumentus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dokumentų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rengimą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377481" w:rsidRPr="00377481" w14:paraId="6EE32964" w14:textId="77777777">
              <w:trPr>
                <w:trHeight w:val="260"/>
              </w:trPr>
              <w:tc>
                <w:tcPr>
                  <w:tcW w:w="932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19A7E12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8.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Konsultuoja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priskirtos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srities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377481" w:rsidRPr="00377481" w14:paraId="750C95EA" w14:textId="77777777">
              <w:trPr>
                <w:trHeight w:val="260"/>
              </w:trPr>
              <w:tc>
                <w:tcPr>
                  <w:tcW w:w="932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BB7CBA7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9.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Nagrinėja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skundus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dokumentus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dėl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teisinių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veiklų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vykdymo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skundų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dokumentų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dėl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teisinių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veiklų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vykdymo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nagrinėjimą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rengia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atsakymus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atsakymų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rengimą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377481" w:rsidRPr="00377481" w14:paraId="7749D216" w14:textId="77777777">
              <w:trPr>
                <w:trHeight w:val="260"/>
              </w:trPr>
              <w:tc>
                <w:tcPr>
                  <w:tcW w:w="932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EE02073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10.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Rengia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teikia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informaciją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informacijos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rengimą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teikimą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377481" w:rsidRPr="00377481" w14:paraId="3133DA54" w14:textId="77777777">
              <w:trPr>
                <w:trHeight w:val="260"/>
              </w:trPr>
              <w:tc>
                <w:tcPr>
                  <w:tcW w:w="932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60D8F00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11.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Rengia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aktų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projektus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sutartis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dokumentus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aktų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projektų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sutarčių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dokumentų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rengimą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377481" w:rsidRPr="00377481" w14:paraId="46A69100" w14:textId="77777777">
              <w:trPr>
                <w:trHeight w:val="260"/>
              </w:trPr>
              <w:tc>
                <w:tcPr>
                  <w:tcW w:w="932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D4B8E80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 xml:space="preserve">12.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Teikia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pasiūlymus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dėl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aktų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projektų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sutarčių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dokumentų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nuostatų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įgyvendinimo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tobulinimo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377481" w:rsidRPr="00377481" w14:paraId="7A8079A4" w14:textId="77777777">
              <w:trPr>
                <w:trHeight w:val="260"/>
              </w:trPr>
              <w:tc>
                <w:tcPr>
                  <w:tcW w:w="932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F15984B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13.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Vertina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aktų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projektus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sutartis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dokumentus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aktų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projektų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sutarčių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dokumentų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vertinimą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rengia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teisines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išvadas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teisinių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išvadų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rengimą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</w:tbl>
          <w:p w14:paraId="2DC78749" w14:textId="77777777" w:rsidR="00377481" w:rsidRPr="00377481" w:rsidRDefault="00377481" w:rsidP="003774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  <w14:ligatures w14:val="none"/>
              </w:rPr>
            </w:pPr>
          </w:p>
        </w:tc>
      </w:tr>
      <w:tr w:rsidR="00377481" w:rsidRPr="00377481" w14:paraId="4C678D7C" w14:textId="77777777" w:rsidTr="00377481">
        <w:trPr>
          <w:trHeight w:val="20"/>
        </w:trPr>
        <w:tc>
          <w:tcPr>
            <w:tcW w:w="30" w:type="dxa"/>
          </w:tcPr>
          <w:p w14:paraId="6F3533F6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67174D57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03FEEEE1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17" w:type="dxa"/>
          </w:tcPr>
          <w:p w14:paraId="661EF345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377481" w:rsidRPr="00377481" w14:paraId="41A7FED1" w14:textId="77777777" w:rsidTr="00377481">
        <w:tc>
          <w:tcPr>
            <w:tcW w:w="30" w:type="dxa"/>
          </w:tcPr>
          <w:p w14:paraId="3BABABB5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51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5"/>
            </w:tblGrid>
            <w:tr w:rsidR="00377481" w:rsidRPr="00377481" w14:paraId="13F20D88" w14:textId="77777777">
              <w:trPr>
                <w:trHeight w:val="253"/>
              </w:trPr>
              <w:tc>
                <w:tcPr>
                  <w:tcW w:w="90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3E71A8B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14.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Dalyvauja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darbo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grupių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komisijų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veikloje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analizuoja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informaciją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pateikia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nuomonę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bei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pasiūlymus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pareigybei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priskirtų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funkcijų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377481" w:rsidRPr="00377481" w14:paraId="6FEF9BD7" w14:textId="77777777">
              <w:trPr>
                <w:trHeight w:val="253"/>
              </w:trPr>
              <w:tc>
                <w:tcPr>
                  <w:tcW w:w="90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7FDD560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15.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Atstovauja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Savivaldybei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Savivaldybės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mero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įgaliojimu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Savivaldybės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administracijai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Savivaldybės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administracijos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direktoriaus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įgaliojimu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visų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instancijų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teismuose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ikiteisminio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tyrimo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institucijose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teisėsaugos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institucijose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bei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įstaigose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Dirba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elektronine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teismų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sistema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EPP.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Teikia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dokumentus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teismams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teisėsaugos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institucijoms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antstolių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įstaigoms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pagal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įpareigojimus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377481" w:rsidRPr="00377481" w14:paraId="1A10255E" w14:textId="77777777">
              <w:trPr>
                <w:trHeight w:val="253"/>
              </w:trPr>
              <w:tc>
                <w:tcPr>
                  <w:tcW w:w="90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63A6A62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16.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Teikia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Skyriaus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vedėjui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Savivaldybės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merui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Savivaldybės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administracijos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direktoriui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pasiūlymus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dėl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teismų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sprendimų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nutarčių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apskundimo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neapskundimo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informuoja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apie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įsiteisėjusius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sprendimus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nutarimus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nutartis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esant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poreikiui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teikia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pasiūlymus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dėl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jų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vykdymo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377481" w:rsidRPr="00377481" w14:paraId="6E5A13C3" w14:textId="77777777">
              <w:trPr>
                <w:trHeight w:val="253"/>
              </w:trPr>
              <w:tc>
                <w:tcPr>
                  <w:tcW w:w="90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87652F9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17.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Pataria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Skyriaus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vedėjui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Skyriaus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veiklos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teikia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siūlymus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dėl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veiklos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tobulinimo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377481" w:rsidRPr="00377481" w14:paraId="100E1293" w14:textId="77777777">
              <w:trPr>
                <w:trHeight w:val="253"/>
              </w:trPr>
              <w:tc>
                <w:tcPr>
                  <w:tcW w:w="90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0B5230B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18.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Konsultuoja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Skyriaus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vedėją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Administracijos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direktorių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jo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pavaduotojus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Savivaldybės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merą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jo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pavaduotojus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teisiniais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susijusiais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Savivaldybės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institucijų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įgyvendinamomis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funkcijomis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bei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Savivaldybės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Savivaldybės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administracijos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veikla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. </w:t>
                  </w:r>
                </w:p>
              </w:tc>
            </w:tr>
            <w:tr w:rsidR="00377481" w:rsidRPr="00377481" w14:paraId="0A0365D2" w14:textId="77777777">
              <w:trPr>
                <w:trHeight w:val="253"/>
              </w:trPr>
              <w:tc>
                <w:tcPr>
                  <w:tcW w:w="903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6EB4003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19.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Pavaduoja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Skyriaus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vedėją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jo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nesant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darbe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dėl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laikinojo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nedarbingumo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proofErr w:type="gram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komandiruotės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ar</w:t>
                  </w:r>
                  <w:proofErr w:type="spellEnd"/>
                  <w:proofErr w:type="gram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pateisinamų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priežasčių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. </w:t>
                  </w:r>
                </w:p>
              </w:tc>
            </w:tr>
          </w:tbl>
          <w:p w14:paraId="3F65DBA4" w14:textId="77777777" w:rsidR="00377481" w:rsidRPr="00377481" w:rsidRDefault="00377481" w:rsidP="003774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  <w14:ligatures w14:val="none"/>
              </w:rPr>
            </w:pPr>
          </w:p>
        </w:tc>
      </w:tr>
      <w:tr w:rsidR="00377481" w:rsidRPr="00377481" w14:paraId="4BC19512" w14:textId="77777777" w:rsidTr="00377481">
        <w:trPr>
          <w:trHeight w:val="20"/>
        </w:trPr>
        <w:tc>
          <w:tcPr>
            <w:tcW w:w="30" w:type="dxa"/>
          </w:tcPr>
          <w:p w14:paraId="64E76267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1BB6F864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5563C82D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17" w:type="dxa"/>
          </w:tcPr>
          <w:p w14:paraId="70035ADC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377481" w:rsidRPr="00377481" w14:paraId="0F5832A9" w14:textId="77777777" w:rsidTr="00377481">
        <w:tc>
          <w:tcPr>
            <w:tcW w:w="30" w:type="dxa"/>
          </w:tcPr>
          <w:p w14:paraId="5C80A3C9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51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377481" w:rsidRPr="00377481" w14:paraId="1407590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184477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20.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Vykdo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kitus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nenuolatinio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pobūdžio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struktūrinio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padalinio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veikla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susijusius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pavedimus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.</w:t>
                  </w:r>
                </w:p>
              </w:tc>
            </w:tr>
          </w:tbl>
          <w:p w14:paraId="78EF4C8A" w14:textId="77777777" w:rsidR="00377481" w:rsidRPr="00377481" w:rsidRDefault="00377481" w:rsidP="003774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  <w14:ligatures w14:val="none"/>
              </w:rPr>
            </w:pPr>
          </w:p>
        </w:tc>
      </w:tr>
      <w:tr w:rsidR="00377481" w:rsidRPr="00377481" w14:paraId="6D8A2F8E" w14:textId="77777777" w:rsidTr="00377481">
        <w:trPr>
          <w:trHeight w:val="139"/>
        </w:trPr>
        <w:tc>
          <w:tcPr>
            <w:tcW w:w="30" w:type="dxa"/>
          </w:tcPr>
          <w:p w14:paraId="459C3FDB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164A92D2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45EF4919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17" w:type="dxa"/>
          </w:tcPr>
          <w:p w14:paraId="07D41083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377481" w:rsidRPr="00377481" w14:paraId="052D9D66" w14:textId="77777777" w:rsidTr="00377481">
        <w:tc>
          <w:tcPr>
            <w:tcW w:w="30" w:type="dxa"/>
          </w:tcPr>
          <w:p w14:paraId="694F3CBD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1FDA1D11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0D99D910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17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377481" w:rsidRPr="00377481" w14:paraId="46DE3B4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2290404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 SKYRIUS</w:t>
                  </w:r>
                </w:p>
                <w:p w14:paraId="5A8BF90D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SPECIALIEJI REIKALAVIMAI</w:t>
                  </w:r>
                </w:p>
              </w:tc>
            </w:tr>
            <w:tr w:rsidR="00377481" w:rsidRPr="00377481" w14:paraId="1C12982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6948DD9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21.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Išsilavinimo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darbo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patirties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reikalavimai:</w:t>
                  </w:r>
                  <w:r w:rsidRPr="00377481">
                    <w:rPr>
                      <w:rFonts w:ascii="Times New Roman" w:eastAsia="Lucida Sans Unicode" w:hAnsi="Times New Roman" w:cs="Times New Roman"/>
                      <w:color w:val="FFFFFF"/>
                      <w:sz w:val="24"/>
                      <w:szCs w:val="24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377481" w:rsidRPr="00377481" w14:paraId="215496B9" w14:textId="77777777">
              <w:trPr>
                <w:trHeight w:val="204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377481" w:rsidRPr="00377481" w14:paraId="66B18A40" w14:textId="77777777">
                    <w:trPr>
                      <w:trHeight w:val="1020"/>
                    </w:trPr>
                    <w:tc>
                      <w:tcPr>
                        <w:tcW w:w="907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0"/>
                        </w:tblGrid>
                        <w:tr w:rsidR="00377481" w:rsidRPr="00377481" w14:paraId="35621A4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1062B262" w14:textId="77777777" w:rsidR="00377481" w:rsidRPr="00377481" w:rsidRDefault="00377481" w:rsidP="00377481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jc w:val="both"/>
                                <w:rPr>
                                  <w:rFonts w:ascii="Times New Roman" w:eastAsia="Lucida Sans Unicode" w:hAnsi="Times New Roman" w:cs="Times New Roman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21.1.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išsilavinimas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aukštasis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universitetinis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išsilavinimas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(ne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žemesnis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kaip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bakalauro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kvalifikacinis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laipsnis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)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arba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jam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lygiavertė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aukštojo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mokslo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kvalifikacija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377481" w:rsidRPr="00377481" w14:paraId="19CD625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0F96732E" w14:textId="77777777" w:rsidR="00377481" w:rsidRPr="00377481" w:rsidRDefault="00377481" w:rsidP="00377481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jc w:val="both"/>
                                <w:rPr>
                                  <w:rFonts w:ascii="Times New Roman" w:eastAsia="Lucida Sans Unicode" w:hAnsi="Times New Roman" w:cs="Times New Roman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21.2.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studijų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kryptis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teisė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(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arba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);</w:t>
                              </w:r>
                            </w:p>
                          </w:tc>
                        </w:tr>
                        <w:tr w:rsidR="00377481" w:rsidRPr="00377481" w14:paraId="43B818F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774240AD" w14:textId="77777777" w:rsidR="00377481" w:rsidRPr="00377481" w:rsidRDefault="00377481" w:rsidP="00377481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jc w:val="both"/>
                                <w:rPr>
                                  <w:rFonts w:ascii="Times New Roman" w:eastAsia="Lucida Sans Unicode" w:hAnsi="Times New Roman" w:cs="Times New Roman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arba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08A2C022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</w:p>
                    </w:tc>
                  </w:tr>
                  <w:tr w:rsidR="00377481" w:rsidRPr="00377481" w14:paraId="24B0E292" w14:textId="77777777">
                    <w:trPr>
                      <w:trHeight w:val="1020"/>
                    </w:trPr>
                    <w:tc>
                      <w:tcPr>
                        <w:tcW w:w="907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0"/>
                        </w:tblGrid>
                        <w:tr w:rsidR="00377481" w:rsidRPr="00377481" w14:paraId="76DC2A9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4411B867" w14:textId="77777777" w:rsidR="00377481" w:rsidRPr="00377481" w:rsidRDefault="00377481" w:rsidP="00377481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jc w:val="both"/>
                                <w:rPr>
                                  <w:rFonts w:ascii="Times New Roman" w:eastAsia="Lucida Sans Unicode" w:hAnsi="Times New Roman" w:cs="Times New Roman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21.3.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išsilavinimas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aukštasis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universitetinis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išsilavinimas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(ne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žemesnis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kaip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bakalauro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kvalifikacinis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laipsnis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)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arba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jam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lygiavertė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aukštojo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mokslo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kvalifikacija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377481" w:rsidRPr="00377481" w14:paraId="1FD8181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775C027B" w14:textId="77777777" w:rsidR="00377481" w:rsidRPr="00377481" w:rsidRDefault="00377481" w:rsidP="00377481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jc w:val="both"/>
                                <w:rPr>
                                  <w:rFonts w:ascii="Times New Roman" w:eastAsia="Lucida Sans Unicode" w:hAnsi="Times New Roman" w:cs="Times New Roman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21.4.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darbo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patirtis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teisinio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darbo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patirtis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;</w:t>
                              </w:r>
                            </w:p>
                          </w:tc>
                        </w:tr>
                        <w:tr w:rsidR="00377481" w:rsidRPr="00377481" w14:paraId="5F7F767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40217B2E" w14:textId="77777777" w:rsidR="00377481" w:rsidRPr="00377481" w:rsidRDefault="00377481" w:rsidP="00377481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jc w:val="both"/>
                                <w:rPr>
                                  <w:rFonts w:ascii="Times New Roman" w:eastAsia="Lucida Sans Unicode" w:hAnsi="Times New Roman" w:cs="Times New Roman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21.5.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darbo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patirties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trukmė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– ne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mažiau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kaip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1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metai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37F09C81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</w:p>
                    </w:tc>
                  </w:tr>
                </w:tbl>
                <w:p w14:paraId="30F0CF7C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</w:tbl>
          <w:p w14:paraId="45270668" w14:textId="77777777" w:rsidR="00377481" w:rsidRPr="00377481" w:rsidRDefault="00377481" w:rsidP="003774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  <w14:ligatures w14:val="none"/>
              </w:rPr>
            </w:pPr>
          </w:p>
        </w:tc>
      </w:tr>
      <w:tr w:rsidR="00377481" w:rsidRPr="00377481" w14:paraId="5039BC5B" w14:textId="77777777" w:rsidTr="00377481">
        <w:trPr>
          <w:trHeight w:val="62"/>
        </w:trPr>
        <w:tc>
          <w:tcPr>
            <w:tcW w:w="30" w:type="dxa"/>
          </w:tcPr>
          <w:p w14:paraId="41FC0ED2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7DD1740A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675D9718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17" w:type="dxa"/>
          </w:tcPr>
          <w:p w14:paraId="0C7A707A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377481" w:rsidRPr="00377481" w14:paraId="46477F27" w14:textId="77777777" w:rsidTr="00377481">
        <w:tc>
          <w:tcPr>
            <w:tcW w:w="30" w:type="dxa"/>
          </w:tcPr>
          <w:p w14:paraId="51FBC633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42EF75E2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7" w:type="dxa"/>
          </w:tcPr>
          <w:p w14:paraId="778A3365" w14:textId="77777777" w:rsidR="00377481" w:rsidRPr="00377481" w:rsidRDefault="00377481" w:rsidP="00377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717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377481" w:rsidRPr="00377481" w14:paraId="6EF0714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BE290CC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VI SKYRIUS</w:t>
                  </w:r>
                </w:p>
                <w:p w14:paraId="0DD99331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KOMPETENCIJOS</w:t>
                  </w:r>
                </w:p>
              </w:tc>
            </w:tr>
            <w:tr w:rsidR="00377481" w:rsidRPr="00377481" w14:paraId="0162511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9378126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22.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Bendrosios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kompetencijos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ir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jų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>pakankami</w:t>
                  </w:r>
                  <w:proofErr w:type="spellEnd"/>
                  <w:r w:rsidRPr="00377481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  <w:lang w:val="en-US"/>
                      <w14:ligatures w14:val="none"/>
                    </w:rPr>
                    <w:t xml:space="preserve"> lygiai:</w:t>
                  </w:r>
                  <w:r w:rsidRPr="00377481">
                    <w:rPr>
                      <w:rFonts w:ascii="Times New Roman" w:eastAsia="Lucida Sans Unicode" w:hAnsi="Times New Roman" w:cs="Times New Roman"/>
                      <w:color w:val="FFFFFF"/>
                      <w:sz w:val="24"/>
                      <w:szCs w:val="24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377481" w:rsidRPr="00377481" w14:paraId="7D80860B" w14:textId="77777777">
              <w:trPr>
                <w:trHeight w:val="1700"/>
              </w:trPr>
              <w:tc>
                <w:tcPr>
                  <w:tcW w:w="907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377481" w:rsidRPr="00377481" w14:paraId="1D17A5C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3CEBC39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lastRenderedPageBreak/>
                          <w:t xml:space="preserve">22.1.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komunikacija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377481" w:rsidRPr="00377481" w14:paraId="195732B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F3EDAA8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22.2.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analizė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ir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pagrindimas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– 5;</w:t>
                        </w:r>
                      </w:p>
                    </w:tc>
                  </w:tr>
                  <w:tr w:rsidR="00377481" w:rsidRPr="00377481" w14:paraId="5FFCB6F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1406F5A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22.3.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patikimumas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ir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atsakingumas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377481" w:rsidRPr="00377481" w14:paraId="38F77DC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D04B743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22.4.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organizuotumas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377481" w:rsidRPr="00377481" w14:paraId="5AE0E14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9A004B2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23.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Vadybinės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ir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lyderystės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kompetencijos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ir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jų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pakankami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lygiai:</w:t>
                        </w:r>
                        <w:r w:rsidRPr="00377481">
                          <w:rPr>
                            <w:rFonts w:ascii="Times New Roman" w:eastAsia="Lucida Sans Unicode" w:hAnsi="Times New Roman" w:cs="Times New Roman"/>
                            <w:color w:val="FFFFFF"/>
                            <w:sz w:val="24"/>
                            <w:szCs w:val="24"/>
                            <w:lang w:val="en-US"/>
                            <w14:ligatures w14:val="none"/>
                          </w:rPr>
                          <w:t>0</w:t>
                        </w:r>
                      </w:p>
                    </w:tc>
                  </w:tr>
                  <w:tr w:rsidR="00377481" w:rsidRPr="00377481" w14:paraId="09F8140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02E441F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 w:rsidRPr="00377481"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23.1.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  <w:t>lyderystė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377481" w:rsidRPr="00377481" w14:paraId="45AF440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D2453CB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 w:rsidRPr="00377481"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23.2.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  <w:t>veiklos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  <w:t>valdymas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377481" w:rsidRPr="00377481" w14:paraId="690EF89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FD21225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 w:rsidRPr="00377481"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23.3.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  <w:t>strateginis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  <w:t>požiūris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– 3.</w:t>
                        </w:r>
                      </w:p>
                    </w:tc>
                  </w:tr>
                  <w:tr w:rsidR="00377481" w:rsidRPr="00377481" w14:paraId="320CBEB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E62DEDD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ascii="Times New Roman" w:eastAsia="Lucida Sans Unicode" w:hAnsi="Times New Roman" w:cs="Times New Roman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24.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Specifinės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kompetencijos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ir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jų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pakankami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lygiai:</w:t>
                        </w:r>
                        <w:r w:rsidRPr="00377481">
                          <w:rPr>
                            <w:rFonts w:ascii="Times New Roman" w:eastAsia="Lucida Sans Unicode" w:hAnsi="Times New Roman" w:cs="Times New Roman"/>
                            <w:color w:val="FFFFFF"/>
                            <w:sz w:val="24"/>
                            <w:szCs w:val="24"/>
                            <w:lang w:val="en-US"/>
                            <w14:ligatures w14:val="none"/>
                          </w:rPr>
                          <w:t>0</w:t>
                        </w:r>
                      </w:p>
                    </w:tc>
                  </w:tr>
                  <w:tr w:rsidR="00377481" w:rsidRPr="00377481" w14:paraId="1980CC2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90"/>
                        </w:tblGrid>
                        <w:tr w:rsidR="00377481" w:rsidRPr="00377481" w14:paraId="6E06022D" w14:textId="77777777">
                          <w:trPr>
                            <w:trHeight w:val="253"/>
                          </w:trPr>
                          <w:tc>
                            <w:tcPr>
                              <w:tcW w:w="900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2DFD6B31" w14:textId="77777777" w:rsidR="00377481" w:rsidRPr="00377481" w:rsidRDefault="00377481" w:rsidP="00377481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jc w:val="both"/>
                                <w:rPr>
                                  <w:rFonts w:ascii="Times New Roman" w:eastAsia="Lucida Sans Unicode" w:hAnsi="Times New Roman" w:cs="Times New Roman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24.1.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informacijos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valdymas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– 5;</w:t>
                              </w:r>
                            </w:p>
                          </w:tc>
                        </w:tr>
                        <w:tr w:rsidR="00377481" w:rsidRPr="00377481" w14:paraId="2E26DCD1" w14:textId="77777777">
                          <w:trPr>
                            <w:trHeight w:val="253"/>
                          </w:trPr>
                          <w:tc>
                            <w:tcPr>
                              <w:tcW w:w="900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778E6E35" w14:textId="77777777" w:rsidR="00377481" w:rsidRPr="00377481" w:rsidRDefault="00377481" w:rsidP="00377481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jc w:val="both"/>
                                <w:rPr>
                                  <w:rFonts w:ascii="Times New Roman" w:eastAsia="Lucida Sans Unicode" w:hAnsi="Times New Roman" w:cs="Times New Roman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24.2.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įžvalgumas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– 5.</w:t>
                              </w:r>
                            </w:p>
                          </w:tc>
                        </w:tr>
                      </w:tbl>
                      <w:p w14:paraId="23F2179E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</w:p>
                    </w:tc>
                  </w:tr>
                  <w:tr w:rsidR="00377481" w:rsidRPr="00377481" w14:paraId="6C6C320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D2415FB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25.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Profesinės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kompetencijos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ir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jų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pakankami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lygiai:</w:t>
                        </w:r>
                        <w:r w:rsidRPr="00377481">
                          <w:rPr>
                            <w:rFonts w:ascii="Times New Roman" w:eastAsia="Lucida Sans Unicode" w:hAnsi="Times New Roman" w:cs="Times New Roman"/>
                            <w:color w:val="FFFFFF"/>
                            <w:sz w:val="24"/>
                            <w:szCs w:val="24"/>
                            <w:lang w:val="en-US"/>
                            <w14:ligatures w14:val="none"/>
                          </w:rPr>
                          <w:t>0</w:t>
                        </w:r>
                      </w:p>
                    </w:tc>
                  </w:tr>
                  <w:tr w:rsidR="00377481" w:rsidRPr="00377481" w14:paraId="26E14CF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90"/>
                        </w:tblGrid>
                        <w:tr w:rsidR="00377481" w:rsidRPr="00377481" w14:paraId="48611F76" w14:textId="77777777">
                          <w:trPr>
                            <w:trHeight w:val="253"/>
                          </w:trPr>
                          <w:tc>
                            <w:tcPr>
                              <w:tcW w:w="900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0DC7E321" w14:textId="77777777" w:rsidR="00377481" w:rsidRPr="00377481" w:rsidRDefault="00377481" w:rsidP="00377481">
                              <w:pPr>
                                <w:widowControl w:val="0"/>
                                <w:suppressAutoHyphens/>
                                <w:spacing w:after="0" w:line="240" w:lineRule="auto"/>
                                <w:jc w:val="both"/>
                                <w:rPr>
                                  <w:rFonts w:ascii="Times New Roman" w:eastAsia="Lucida Sans Unicode" w:hAnsi="Times New Roman" w:cs="Times New Roman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25.1.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teisės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išmanymas</w:t>
                              </w:r>
                              <w:proofErr w:type="spellEnd"/>
                              <w:r w:rsidRPr="0037748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– 5;</w:t>
                              </w:r>
                            </w:p>
                          </w:tc>
                        </w:tr>
                      </w:tbl>
                      <w:p w14:paraId="5100CDBB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</w:p>
                    </w:tc>
                  </w:tr>
                  <w:tr w:rsidR="00377481" w:rsidRPr="00377481" w14:paraId="4592139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C514A09" w14:textId="77777777" w:rsidR="00377481" w:rsidRPr="00377481" w:rsidRDefault="00377481" w:rsidP="00377481">
                        <w:pPr>
                          <w:widowControl w:val="0"/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25.2.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dokumentų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valdymas</w:t>
                        </w:r>
                        <w:proofErr w:type="spellEnd"/>
                        <w:r w:rsidRPr="00377481">
                          <w:rPr>
                            <w:rFonts w:ascii="Times New Roman" w:eastAsia="Lucida Sans Unicode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– 4.</w:t>
                        </w:r>
                      </w:p>
                    </w:tc>
                  </w:tr>
                </w:tbl>
                <w:p w14:paraId="1007276F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377481" w:rsidRPr="00377481" w14:paraId="0004FB2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A34117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377481" w:rsidRPr="00377481" w14:paraId="522AD4E4" w14:textId="77777777">
              <w:trPr>
                <w:trHeight w:val="340"/>
              </w:trPr>
              <w:tc>
                <w:tcPr>
                  <w:tcW w:w="9070" w:type="dxa"/>
                </w:tcPr>
                <w:p w14:paraId="5A24D5CC" w14:textId="77777777" w:rsidR="00377481" w:rsidRPr="00377481" w:rsidRDefault="00377481" w:rsidP="0037748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</w:tbl>
          <w:p w14:paraId="5036181A" w14:textId="77777777" w:rsidR="00377481" w:rsidRPr="00377481" w:rsidRDefault="00377481" w:rsidP="003774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6A803028" w14:textId="77777777" w:rsidR="005E0DBF" w:rsidRDefault="005E0DBF"/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81"/>
    <w:rsid w:val="00377481"/>
    <w:rsid w:val="00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66EC"/>
  <w15:chartTrackingRefBased/>
  <w15:docId w15:val="{8DAB6071-55D7-4D84-8493-03EBD228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3235</Words>
  <Characters>1844</Characters>
  <Application>Microsoft Office Word</Application>
  <DocSecurity>0</DocSecurity>
  <Lines>15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1</cp:revision>
  <dcterms:created xsi:type="dcterms:W3CDTF">2023-04-27T13:09:00Z</dcterms:created>
  <dcterms:modified xsi:type="dcterms:W3CDTF">2023-04-27T13:10:00Z</dcterms:modified>
</cp:coreProperties>
</file>