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E6305F" w14:paraId="25C98C2D" w14:textId="77777777" w:rsidTr="00E6305F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E6305F" w14:paraId="02021901" w14:textId="77777777" w:rsidTr="00E6305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2D0E38" w14:textId="77777777" w:rsidR="00675AB7" w:rsidRDefault="00675AB7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71D56" w14:textId="77777777" w:rsidR="00E6305F" w:rsidRDefault="00E6305F" w:rsidP="00E6305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0D7D3F6A" w14:textId="77777777" w:rsidR="00E6305F" w:rsidRDefault="00E6305F" w:rsidP="00E6305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18F690D0" w14:textId="77777777" w:rsidR="00E6305F" w:rsidRDefault="00E6305F" w:rsidP="00E6305F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461E4418" w14:textId="77777777" w:rsidR="00E6305F" w:rsidRDefault="00E6305F" w:rsidP="00E6305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12271FF8" w14:textId="77777777" w:rsidR="00675AB7" w:rsidRDefault="00E6305F" w:rsidP="00E6305F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E6305F" w14:paraId="20B2228E" w14:textId="77777777" w:rsidTr="00E6305F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85FFC6" w14:textId="77777777" w:rsidR="00675AB7" w:rsidRDefault="00675AB7"/>
              </w:tc>
            </w:tr>
            <w:tr w:rsidR="00E6305F" w14:paraId="106923ED" w14:textId="77777777" w:rsidTr="00E6305F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E460F9" w14:textId="77777777" w:rsidR="00675AB7" w:rsidRDefault="00675A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E6305F" w14:paraId="41B01506" w14:textId="77777777" w:rsidTr="00E6305F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93EB21" w14:textId="77777777" w:rsidR="00675AB7" w:rsidRDefault="00675A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SOCIALINĖS PARAMOS SKYRIUS</w:t>
                  </w:r>
                </w:p>
              </w:tc>
            </w:tr>
            <w:tr w:rsidR="00E6305F" w14:paraId="36E65325" w14:textId="77777777" w:rsidTr="00E6305F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235E53" w14:textId="77777777" w:rsidR="00675AB7" w:rsidRDefault="00675A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VYRIAUSIASIS SPECIALISTAS</w:t>
                  </w:r>
                </w:p>
              </w:tc>
            </w:tr>
            <w:tr w:rsidR="00E6305F" w14:paraId="3E0DC166" w14:textId="77777777" w:rsidTr="00E6305F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1086BC" w14:textId="77777777" w:rsidR="00675AB7" w:rsidRDefault="00675A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30C13D7F" w14:textId="77777777" w:rsidR="00675AB7" w:rsidRDefault="00675AB7"/>
        </w:tc>
        <w:tc>
          <w:tcPr>
            <w:tcW w:w="13" w:type="dxa"/>
          </w:tcPr>
          <w:p w14:paraId="00610A02" w14:textId="77777777" w:rsidR="00675AB7" w:rsidRDefault="00675AB7">
            <w:pPr>
              <w:pStyle w:val="EmptyLayoutCell"/>
            </w:pPr>
          </w:p>
        </w:tc>
      </w:tr>
      <w:tr w:rsidR="00675AB7" w14:paraId="0421D8B6" w14:textId="77777777">
        <w:trPr>
          <w:trHeight w:val="349"/>
        </w:trPr>
        <w:tc>
          <w:tcPr>
            <w:tcW w:w="13" w:type="dxa"/>
          </w:tcPr>
          <w:p w14:paraId="40135C96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41D3BE3C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7335D22B" w14:textId="77777777" w:rsidR="00675AB7" w:rsidRDefault="00675AB7">
            <w:pPr>
              <w:pStyle w:val="EmptyLayoutCell"/>
            </w:pPr>
          </w:p>
        </w:tc>
        <w:tc>
          <w:tcPr>
            <w:tcW w:w="9055" w:type="dxa"/>
          </w:tcPr>
          <w:p w14:paraId="72CCBBAC" w14:textId="77777777" w:rsidR="00675AB7" w:rsidRDefault="00675AB7">
            <w:pPr>
              <w:pStyle w:val="EmptyLayoutCell"/>
            </w:pPr>
          </w:p>
        </w:tc>
        <w:tc>
          <w:tcPr>
            <w:tcW w:w="13" w:type="dxa"/>
          </w:tcPr>
          <w:p w14:paraId="33489FA9" w14:textId="77777777" w:rsidR="00675AB7" w:rsidRDefault="00675AB7">
            <w:pPr>
              <w:pStyle w:val="EmptyLayoutCell"/>
            </w:pPr>
          </w:p>
        </w:tc>
      </w:tr>
      <w:tr w:rsidR="00E6305F" w14:paraId="383C9B85" w14:textId="77777777" w:rsidTr="00E6305F">
        <w:tc>
          <w:tcPr>
            <w:tcW w:w="13" w:type="dxa"/>
          </w:tcPr>
          <w:p w14:paraId="21836814" w14:textId="77777777" w:rsidR="00675AB7" w:rsidRDefault="00675AB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5AB7" w14:paraId="4BE969D1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3C9651" w14:textId="77777777" w:rsidR="00675AB7" w:rsidRDefault="00675A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1E643BED" w14:textId="77777777" w:rsidR="00675AB7" w:rsidRDefault="00675AB7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  <w:p w14:paraId="0905F98E" w14:textId="77777777" w:rsidR="00AE2B2D" w:rsidRDefault="00AE2B2D">
                  <w:pPr>
                    <w:jc w:val="center"/>
                  </w:pPr>
                </w:p>
                <w:p w14:paraId="345F6D1B" w14:textId="77777777" w:rsidR="00AE2B2D" w:rsidRDefault="00AE2B2D">
                  <w:pPr>
                    <w:jc w:val="center"/>
                  </w:pPr>
                </w:p>
              </w:tc>
            </w:tr>
            <w:tr w:rsidR="00675AB7" w14:paraId="4E0C8D9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8D5BEE" w14:textId="77777777" w:rsidR="00675AB7" w:rsidRDefault="00675AB7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specialistas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675AB7" w14:paraId="10FF9DA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319BD8" w14:textId="77777777" w:rsidR="00675AB7" w:rsidRDefault="00675AB7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  <w:p w14:paraId="260F1E2A" w14:textId="77777777" w:rsidR="00AE2B2D" w:rsidRDefault="00AE2B2D"/>
                <w:p w14:paraId="52A14C79" w14:textId="77777777" w:rsidR="00AE2B2D" w:rsidRDefault="00AE2B2D"/>
              </w:tc>
            </w:tr>
          </w:tbl>
          <w:p w14:paraId="394F74B2" w14:textId="77777777" w:rsidR="00675AB7" w:rsidRDefault="00675AB7"/>
        </w:tc>
      </w:tr>
      <w:tr w:rsidR="00675AB7" w14:paraId="2D17601A" w14:textId="77777777">
        <w:trPr>
          <w:trHeight w:val="120"/>
        </w:trPr>
        <w:tc>
          <w:tcPr>
            <w:tcW w:w="13" w:type="dxa"/>
          </w:tcPr>
          <w:p w14:paraId="08270267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5B93EF06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5545AF91" w14:textId="77777777" w:rsidR="00675AB7" w:rsidRDefault="00675AB7">
            <w:pPr>
              <w:pStyle w:val="EmptyLayoutCell"/>
            </w:pPr>
          </w:p>
        </w:tc>
        <w:tc>
          <w:tcPr>
            <w:tcW w:w="9055" w:type="dxa"/>
          </w:tcPr>
          <w:p w14:paraId="6D6D2736" w14:textId="77777777" w:rsidR="00675AB7" w:rsidRDefault="00675AB7">
            <w:pPr>
              <w:pStyle w:val="EmptyLayoutCell"/>
            </w:pPr>
          </w:p>
        </w:tc>
        <w:tc>
          <w:tcPr>
            <w:tcW w:w="13" w:type="dxa"/>
          </w:tcPr>
          <w:p w14:paraId="0F864525" w14:textId="77777777" w:rsidR="00675AB7" w:rsidRDefault="00675AB7">
            <w:pPr>
              <w:pStyle w:val="EmptyLayoutCell"/>
            </w:pPr>
          </w:p>
        </w:tc>
      </w:tr>
      <w:tr w:rsidR="00E6305F" w14:paraId="4AF9E979" w14:textId="77777777" w:rsidTr="00E6305F">
        <w:tc>
          <w:tcPr>
            <w:tcW w:w="13" w:type="dxa"/>
          </w:tcPr>
          <w:p w14:paraId="74CEA01B" w14:textId="77777777" w:rsidR="00675AB7" w:rsidRDefault="00675AB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5AB7" w14:paraId="641CB22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E123C5" w14:textId="77777777" w:rsidR="00675AB7" w:rsidRDefault="00675A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31E9F966" w14:textId="77777777" w:rsidR="00675AB7" w:rsidRDefault="00675AB7">
                  <w:pPr>
                    <w:jc w:val="center"/>
                    <w:rPr>
                      <w:color w:val="FFFFFF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  <w:p w14:paraId="19260F11" w14:textId="77777777" w:rsidR="00AE2B2D" w:rsidRDefault="00AE2B2D">
                  <w:pPr>
                    <w:jc w:val="center"/>
                  </w:pPr>
                </w:p>
              </w:tc>
            </w:tr>
            <w:tr w:rsidR="00675AB7" w14:paraId="099D767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75AB7" w14:paraId="29EE37C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9019CC" w14:textId="77777777" w:rsidR="00675AB7" w:rsidRDefault="00675AB7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paslaugų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12912F05" w14:textId="77777777" w:rsidR="00AE2B2D" w:rsidRDefault="00AE2B2D"/>
                      <w:p w14:paraId="3BEA633F" w14:textId="77777777" w:rsidR="00AE2B2D" w:rsidRDefault="00AE2B2D"/>
                    </w:tc>
                  </w:tr>
                </w:tbl>
                <w:p w14:paraId="32DDFF72" w14:textId="77777777" w:rsidR="00675AB7" w:rsidRDefault="00675AB7"/>
              </w:tc>
            </w:tr>
          </w:tbl>
          <w:p w14:paraId="78D62943" w14:textId="77777777" w:rsidR="00675AB7" w:rsidRDefault="00675AB7"/>
        </w:tc>
      </w:tr>
      <w:tr w:rsidR="00675AB7" w14:paraId="6DE7B686" w14:textId="77777777">
        <w:trPr>
          <w:trHeight w:val="126"/>
        </w:trPr>
        <w:tc>
          <w:tcPr>
            <w:tcW w:w="13" w:type="dxa"/>
          </w:tcPr>
          <w:p w14:paraId="707EA3CA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455E7E9C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552BF4D2" w14:textId="77777777" w:rsidR="00675AB7" w:rsidRDefault="00675AB7">
            <w:pPr>
              <w:pStyle w:val="EmptyLayoutCell"/>
            </w:pPr>
          </w:p>
        </w:tc>
        <w:tc>
          <w:tcPr>
            <w:tcW w:w="9055" w:type="dxa"/>
          </w:tcPr>
          <w:p w14:paraId="125C0771" w14:textId="77777777" w:rsidR="00675AB7" w:rsidRDefault="00675AB7">
            <w:pPr>
              <w:pStyle w:val="EmptyLayoutCell"/>
            </w:pPr>
          </w:p>
        </w:tc>
        <w:tc>
          <w:tcPr>
            <w:tcW w:w="13" w:type="dxa"/>
          </w:tcPr>
          <w:p w14:paraId="6F9623C9" w14:textId="77777777" w:rsidR="00675AB7" w:rsidRDefault="00675AB7">
            <w:pPr>
              <w:pStyle w:val="EmptyLayoutCell"/>
            </w:pPr>
          </w:p>
        </w:tc>
      </w:tr>
      <w:tr w:rsidR="00E6305F" w14:paraId="0F848415" w14:textId="77777777" w:rsidTr="00E6305F">
        <w:tc>
          <w:tcPr>
            <w:tcW w:w="13" w:type="dxa"/>
          </w:tcPr>
          <w:p w14:paraId="6D523115" w14:textId="77777777" w:rsidR="00675AB7" w:rsidRDefault="00675AB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5AB7" w14:paraId="57F08EE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31DCF5" w14:textId="77777777" w:rsidR="00675AB7" w:rsidRDefault="00675A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4427EC9F" w14:textId="77777777" w:rsidR="00675AB7" w:rsidRDefault="00675AB7">
                  <w:pPr>
                    <w:jc w:val="center"/>
                    <w:rPr>
                      <w:color w:val="FFFFFF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  <w:p w14:paraId="7C53EC9C" w14:textId="77777777" w:rsidR="00AE2B2D" w:rsidRDefault="00AE2B2D">
                  <w:pPr>
                    <w:jc w:val="center"/>
                    <w:rPr>
                      <w:color w:val="FFFFFF"/>
                    </w:rPr>
                  </w:pPr>
                </w:p>
                <w:p w14:paraId="64F64CE3" w14:textId="77777777" w:rsidR="00AE2B2D" w:rsidRDefault="00AE2B2D">
                  <w:pPr>
                    <w:jc w:val="center"/>
                  </w:pPr>
                </w:p>
              </w:tc>
            </w:tr>
            <w:tr w:rsidR="00675AB7" w14:paraId="0C64E4D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75AB7" w14:paraId="27C5EA0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274ABB" w14:textId="77777777" w:rsidR="00675AB7" w:rsidRDefault="00675AB7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Socialinė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parama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14:paraId="42A75071" w14:textId="77777777" w:rsidR="00AE2B2D" w:rsidRDefault="00AE2B2D"/>
                    </w:tc>
                  </w:tr>
                </w:tbl>
                <w:p w14:paraId="6EB0B6E2" w14:textId="77777777" w:rsidR="00675AB7" w:rsidRDefault="00675AB7"/>
              </w:tc>
            </w:tr>
          </w:tbl>
          <w:p w14:paraId="15AC56A4" w14:textId="77777777" w:rsidR="00675AB7" w:rsidRDefault="00675AB7"/>
        </w:tc>
      </w:tr>
      <w:tr w:rsidR="00675AB7" w14:paraId="6417A49A" w14:textId="77777777">
        <w:trPr>
          <w:trHeight w:val="100"/>
        </w:trPr>
        <w:tc>
          <w:tcPr>
            <w:tcW w:w="13" w:type="dxa"/>
          </w:tcPr>
          <w:p w14:paraId="69CBDD70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4CFAFA49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5360B23D" w14:textId="77777777" w:rsidR="00675AB7" w:rsidRDefault="00675AB7">
            <w:pPr>
              <w:pStyle w:val="EmptyLayoutCell"/>
            </w:pPr>
          </w:p>
        </w:tc>
        <w:tc>
          <w:tcPr>
            <w:tcW w:w="9055" w:type="dxa"/>
          </w:tcPr>
          <w:p w14:paraId="3FA2A155" w14:textId="77777777" w:rsidR="00675AB7" w:rsidRDefault="00675AB7">
            <w:pPr>
              <w:pStyle w:val="EmptyLayoutCell"/>
            </w:pPr>
          </w:p>
        </w:tc>
        <w:tc>
          <w:tcPr>
            <w:tcW w:w="13" w:type="dxa"/>
          </w:tcPr>
          <w:p w14:paraId="5D14052E" w14:textId="77777777" w:rsidR="00675AB7" w:rsidRDefault="00675AB7">
            <w:pPr>
              <w:pStyle w:val="EmptyLayoutCell"/>
            </w:pPr>
          </w:p>
        </w:tc>
      </w:tr>
      <w:tr w:rsidR="00E6305F" w14:paraId="2221F51B" w14:textId="77777777" w:rsidTr="00E6305F">
        <w:tc>
          <w:tcPr>
            <w:tcW w:w="13" w:type="dxa"/>
          </w:tcPr>
          <w:p w14:paraId="7A12A18D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37CC96DC" w14:textId="77777777" w:rsidR="00675AB7" w:rsidRDefault="00675AB7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5AB7" w14:paraId="0839AB0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C43A7B" w14:textId="77777777" w:rsidR="00675AB7" w:rsidRDefault="00675A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4512DCC3" w14:textId="77777777" w:rsidR="00675AB7" w:rsidRDefault="00675AB7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  <w:p w14:paraId="0904623E" w14:textId="77777777" w:rsidR="00AE2B2D" w:rsidRDefault="00AE2B2D">
                  <w:pPr>
                    <w:jc w:val="center"/>
                  </w:pPr>
                </w:p>
              </w:tc>
            </w:tr>
          </w:tbl>
          <w:p w14:paraId="276328D3" w14:textId="77777777" w:rsidR="00675AB7" w:rsidRDefault="00675AB7"/>
        </w:tc>
      </w:tr>
      <w:tr w:rsidR="00675AB7" w14:paraId="36B23CF2" w14:textId="77777777">
        <w:trPr>
          <w:trHeight w:val="39"/>
        </w:trPr>
        <w:tc>
          <w:tcPr>
            <w:tcW w:w="13" w:type="dxa"/>
          </w:tcPr>
          <w:p w14:paraId="0BC4C71B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1717166D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6BC40F3D" w14:textId="77777777" w:rsidR="00675AB7" w:rsidRDefault="00675AB7">
            <w:pPr>
              <w:pStyle w:val="EmptyLayoutCell"/>
            </w:pPr>
          </w:p>
        </w:tc>
        <w:tc>
          <w:tcPr>
            <w:tcW w:w="9055" w:type="dxa"/>
          </w:tcPr>
          <w:p w14:paraId="5B89877A" w14:textId="77777777" w:rsidR="00675AB7" w:rsidRDefault="00675AB7">
            <w:pPr>
              <w:pStyle w:val="EmptyLayoutCell"/>
            </w:pPr>
          </w:p>
        </w:tc>
        <w:tc>
          <w:tcPr>
            <w:tcW w:w="13" w:type="dxa"/>
          </w:tcPr>
          <w:p w14:paraId="461F37F3" w14:textId="77777777" w:rsidR="00675AB7" w:rsidRDefault="00675AB7">
            <w:pPr>
              <w:pStyle w:val="EmptyLayoutCell"/>
            </w:pPr>
          </w:p>
        </w:tc>
      </w:tr>
      <w:tr w:rsidR="00E6305F" w14:paraId="5602613D" w14:textId="77777777" w:rsidTr="00E6305F">
        <w:tc>
          <w:tcPr>
            <w:tcW w:w="13" w:type="dxa"/>
          </w:tcPr>
          <w:p w14:paraId="6ED8D751" w14:textId="77777777" w:rsidR="00675AB7" w:rsidRDefault="00675AB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5AB7" w14:paraId="370CD14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C9429A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3788D77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C6827E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34431D1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BFCDB3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21F5C8F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C03674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42A01CC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2BC136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2906089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7C77A1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648A7F1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849665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5D4464F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3ADD31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3E2FCA1" w14:textId="77777777" w:rsidR="00675AB7" w:rsidRDefault="00675AB7" w:rsidP="00E6305F">
            <w:pPr>
              <w:jc w:val="both"/>
            </w:pPr>
          </w:p>
        </w:tc>
      </w:tr>
      <w:tr w:rsidR="00675AB7" w14:paraId="5BBAD9FE" w14:textId="77777777">
        <w:trPr>
          <w:trHeight w:val="20"/>
        </w:trPr>
        <w:tc>
          <w:tcPr>
            <w:tcW w:w="13" w:type="dxa"/>
          </w:tcPr>
          <w:p w14:paraId="34593634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5D8148F2" w14:textId="77777777" w:rsidR="00675AB7" w:rsidRDefault="00675AB7" w:rsidP="00E6305F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43D866DF" w14:textId="77777777" w:rsidR="00675AB7" w:rsidRDefault="00675AB7" w:rsidP="00E6305F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5FEF559F" w14:textId="77777777" w:rsidR="00675AB7" w:rsidRDefault="00675AB7" w:rsidP="00E6305F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7BB4A214" w14:textId="77777777" w:rsidR="00675AB7" w:rsidRDefault="00675AB7" w:rsidP="00E6305F">
            <w:pPr>
              <w:pStyle w:val="EmptyLayoutCell"/>
              <w:jc w:val="both"/>
            </w:pPr>
          </w:p>
        </w:tc>
      </w:tr>
      <w:tr w:rsidR="00E6305F" w14:paraId="4829562F" w14:textId="77777777" w:rsidTr="00E6305F">
        <w:tc>
          <w:tcPr>
            <w:tcW w:w="13" w:type="dxa"/>
          </w:tcPr>
          <w:p w14:paraId="2A49C183" w14:textId="77777777" w:rsidR="00675AB7" w:rsidRDefault="00675AB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5AB7" w14:paraId="6C44402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918911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Piniginės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nepasiturintiems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maisto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produktų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Europos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labiausiai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skurstantiems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50A8EC2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5DA5A9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piniginės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nepasiturintiems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maisto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produktų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Europos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labiausiai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skurstantiems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00F7470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798BDB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testuoja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pajamas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3F61071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6C6B67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patikrintus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(SPIS)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„Parama“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kompiuterines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5AB7" w14:paraId="54F3E15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58E272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piniginės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nepasiturintiems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B17B938" w14:textId="77777777" w:rsidR="00675AB7" w:rsidRDefault="00675AB7" w:rsidP="00E6305F">
            <w:pPr>
              <w:jc w:val="both"/>
            </w:pPr>
          </w:p>
        </w:tc>
      </w:tr>
      <w:tr w:rsidR="00675AB7" w14:paraId="271A9C78" w14:textId="77777777">
        <w:trPr>
          <w:trHeight w:val="20"/>
        </w:trPr>
        <w:tc>
          <w:tcPr>
            <w:tcW w:w="13" w:type="dxa"/>
          </w:tcPr>
          <w:p w14:paraId="74DC35CB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3F089C17" w14:textId="77777777" w:rsidR="00675AB7" w:rsidRDefault="00675AB7" w:rsidP="00E6305F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4858F532" w14:textId="77777777" w:rsidR="00675AB7" w:rsidRDefault="00675AB7" w:rsidP="00E6305F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17C36D03" w14:textId="77777777" w:rsidR="00675AB7" w:rsidRDefault="00675AB7" w:rsidP="00E6305F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3F39CA81" w14:textId="77777777" w:rsidR="00675AB7" w:rsidRDefault="00675AB7" w:rsidP="00E6305F">
            <w:pPr>
              <w:pStyle w:val="EmptyLayoutCell"/>
              <w:jc w:val="both"/>
            </w:pPr>
          </w:p>
        </w:tc>
      </w:tr>
      <w:tr w:rsidR="00E6305F" w14:paraId="084723F6" w14:textId="77777777" w:rsidTr="00E6305F">
        <w:tc>
          <w:tcPr>
            <w:tcW w:w="13" w:type="dxa"/>
          </w:tcPr>
          <w:p w14:paraId="42F166C2" w14:textId="77777777" w:rsidR="00675AB7" w:rsidRDefault="00675AB7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5AB7" w14:paraId="14E7DEF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FFFF09" w14:textId="77777777" w:rsidR="00675AB7" w:rsidRDefault="00675AB7" w:rsidP="00E6305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E60F296" w14:textId="77777777" w:rsidR="00675AB7" w:rsidRDefault="00675AB7" w:rsidP="00E6305F">
            <w:pPr>
              <w:jc w:val="both"/>
            </w:pPr>
          </w:p>
        </w:tc>
      </w:tr>
      <w:tr w:rsidR="00AE2B2D" w14:paraId="224F94C8" w14:textId="77777777" w:rsidTr="00E6305F">
        <w:tc>
          <w:tcPr>
            <w:tcW w:w="13" w:type="dxa"/>
          </w:tcPr>
          <w:p w14:paraId="6F54A25A" w14:textId="77777777" w:rsidR="00AE2B2D" w:rsidRDefault="00AE2B2D">
            <w:pPr>
              <w:pStyle w:val="EmptyLayoutCell"/>
            </w:pPr>
          </w:p>
        </w:tc>
        <w:tc>
          <w:tcPr>
            <w:tcW w:w="9070" w:type="dxa"/>
            <w:gridSpan w:val="4"/>
          </w:tcPr>
          <w:p w14:paraId="1CE54332" w14:textId="77777777" w:rsidR="00AE2B2D" w:rsidRDefault="00AE2B2D" w:rsidP="00E6305F">
            <w:pPr>
              <w:jc w:val="both"/>
              <w:rPr>
                <w:color w:val="000000"/>
                <w:sz w:val="24"/>
              </w:rPr>
            </w:pPr>
          </w:p>
        </w:tc>
      </w:tr>
      <w:tr w:rsidR="00675AB7" w14:paraId="3F10D80C" w14:textId="77777777">
        <w:trPr>
          <w:trHeight w:val="139"/>
        </w:trPr>
        <w:tc>
          <w:tcPr>
            <w:tcW w:w="13" w:type="dxa"/>
          </w:tcPr>
          <w:p w14:paraId="2C3B4213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7862A518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7B6493E2" w14:textId="77777777" w:rsidR="00675AB7" w:rsidRDefault="00675AB7">
            <w:pPr>
              <w:pStyle w:val="EmptyLayoutCell"/>
            </w:pPr>
          </w:p>
        </w:tc>
        <w:tc>
          <w:tcPr>
            <w:tcW w:w="9055" w:type="dxa"/>
          </w:tcPr>
          <w:p w14:paraId="5C8A4334" w14:textId="77777777" w:rsidR="00675AB7" w:rsidRDefault="00675AB7">
            <w:pPr>
              <w:pStyle w:val="EmptyLayoutCell"/>
            </w:pPr>
          </w:p>
        </w:tc>
        <w:tc>
          <w:tcPr>
            <w:tcW w:w="13" w:type="dxa"/>
          </w:tcPr>
          <w:p w14:paraId="3F4116B4" w14:textId="77777777" w:rsidR="00675AB7" w:rsidRDefault="00675AB7">
            <w:pPr>
              <w:pStyle w:val="EmptyLayoutCell"/>
            </w:pPr>
          </w:p>
        </w:tc>
      </w:tr>
      <w:tr w:rsidR="00E6305F" w14:paraId="3CCF051C" w14:textId="77777777" w:rsidTr="00E6305F">
        <w:tc>
          <w:tcPr>
            <w:tcW w:w="13" w:type="dxa"/>
          </w:tcPr>
          <w:p w14:paraId="043D2A57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398E0740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18B8EC35" w14:textId="77777777" w:rsidR="00675AB7" w:rsidRDefault="00675AB7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675AB7" w14:paraId="767EB50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4A6B73" w14:textId="77777777" w:rsidR="00675AB7" w:rsidRDefault="00675A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6D12EBED" w14:textId="77777777" w:rsidR="00675AB7" w:rsidRDefault="00675AB7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  <w:p w14:paraId="0708C51E" w14:textId="77777777" w:rsidR="00AE2B2D" w:rsidRDefault="00AE2B2D">
                  <w:pPr>
                    <w:jc w:val="center"/>
                  </w:pPr>
                </w:p>
              </w:tc>
            </w:tr>
            <w:tr w:rsidR="00675AB7" w14:paraId="53B0D23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F5043F" w14:textId="77777777" w:rsidR="00675AB7" w:rsidRDefault="00675AB7"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75AB7" w14:paraId="206DB512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675AB7" w14:paraId="350C26D7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675AB7" w14:paraId="76B60A5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17D15B1" w14:textId="77777777" w:rsidR="00675AB7" w:rsidRDefault="00675AB7" w:rsidP="00E6305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675AB7" w14:paraId="7343E6C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B823D8" w14:textId="77777777" w:rsidR="00675AB7" w:rsidRDefault="00675AB7" w:rsidP="00E6305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675AB7" w14:paraId="796E9D5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F8CA1E" w14:textId="77777777" w:rsidR="00675AB7" w:rsidRDefault="00675AB7" w:rsidP="00E6305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675AB7" w14:paraId="15D38F4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397E908" w14:textId="77777777" w:rsidR="00675AB7" w:rsidRDefault="00675AB7" w:rsidP="00E6305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administravimas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675AB7" w14:paraId="753FD92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02C798C" w14:textId="77777777" w:rsidR="00675AB7" w:rsidRDefault="00675AB7" w:rsidP="00E6305F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2D79CF22" w14:textId="77777777" w:rsidR="00675AB7" w:rsidRDefault="00675AB7" w:rsidP="00E6305F">
                        <w:pPr>
                          <w:jc w:val="both"/>
                        </w:pPr>
                      </w:p>
                    </w:tc>
                  </w:tr>
                  <w:tr w:rsidR="00675AB7" w14:paraId="7F143FCA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675AB7" w14:paraId="226F06F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E3AD7A1" w14:textId="77777777" w:rsidR="00675AB7" w:rsidRDefault="00675AB7" w:rsidP="00E6305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675AB7" w14:paraId="3AA7E4D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6A2205" w14:textId="77777777" w:rsidR="00675AB7" w:rsidRDefault="00675AB7" w:rsidP="00E6305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paramos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675AB7" w14:paraId="2A77FD6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852285" w14:textId="77777777" w:rsidR="00675AB7" w:rsidRDefault="00675AB7" w:rsidP="00E6305F">
                              <w:pPr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  <w:p w14:paraId="56021F4F" w14:textId="77777777" w:rsidR="00AE2B2D" w:rsidRDefault="00AE2B2D" w:rsidP="00E6305F">
                              <w:pPr>
                                <w:jc w:val="both"/>
                              </w:pPr>
                            </w:p>
                          </w:tc>
                        </w:tr>
                      </w:tbl>
                      <w:p w14:paraId="584235BC" w14:textId="77777777" w:rsidR="00675AB7" w:rsidRDefault="00675AB7" w:rsidP="00E6305F">
                        <w:pPr>
                          <w:jc w:val="both"/>
                        </w:pPr>
                      </w:p>
                    </w:tc>
                  </w:tr>
                </w:tbl>
                <w:p w14:paraId="46E0280F" w14:textId="77777777" w:rsidR="00675AB7" w:rsidRDefault="00675AB7"/>
              </w:tc>
            </w:tr>
          </w:tbl>
          <w:p w14:paraId="2BC8436A" w14:textId="77777777" w:rsidR="00675AB7" w:rsidRDefault="00675AB7"/>
        </w:tc>
      </w:tr>
      <w:tr w:rsidR="00675AB7" w14:paraId="7EECAE88" w14:textId="77777777">
        <w:trPr>
          <w:trHeight w:val="62"/>
        </w:trPr>
        <w:tc>
          <w:tcPr>
            <w:tcW w:w="13" w:type="dxa"/>
          </w:tcPr>
          <w:p w14:paraId="6D03E793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49D7DB87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790D9DE2" w14:textId="77777777" w:rsidR="00675AB7" w:rsidRDefault="00675AB7">
            <w:pPr>
              <w:pStyle w:val="EmptyLayoutCell"/>
            </w:pPr>
          </w:p>
        </w:tc>
        <w:tc>
          <w:tcPr>
            <w:tcW w:w="9055" w:type="dxa"/>
          </w:tcPr>
          <w:p w14:paraId="1A6EF11F" w14:textId="77777777" w:rsidR="00675AB7" w:rsidRDefault="00675AB7">
            <w:pPr>
              <w:pStyle w:val="EmptyLayoutCell"/>
            </w:pPr>
          </w:p>
        </w:tc>
        <w:tc>
          <w:tcPr>
            <w:tcW w:w="13" w:type="dxa"/>
          </w:tcPr>
          <w:p w14:paraId="2D24FC38" w14:textId="77777777" w:rsidR="00675AB7" w:rsidRDefault="00675AB7">
            <w:pPr>
              <w:pStyle w:val="EmptyLayoutCell"/>
            </w:pPr>
          </w:p>
        </w:tc>
      </w:tr>
      <w:tr w:rsidR="00E6305F" w14:paraId="5A20971D" w14:textId="77777777" w:rsidTr="00E6305F">
        <w:tc>
          <w:tcPr>
            <w:tcW w:w="13" w:type="dxa"/>
          </w:tcPr>
          <w:p w14:paraId="58F08E77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1F965D33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66822B91" w14:textId="77777777" w:rsidR="00675AB7" w:rsidRDefault="00675AB7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675AB7" w14:paraId="115BD53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CE42CD" w14:textId="77777777" w:rsidR="00675AB7" w:rsidRDefault="00675A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117F0D11" w14:textId="77777777" w:rsidR="00675AB7" w:rsidRDefault="00675AB7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  <w:p w14:paraId="45E5863E" w14:textId="77777777" w:rsidR="00AE2B2D" w:rsidRDefault="00AE2B2D">
                  <w:pPr>
                    <w:jc w:val="center"/>
                  </w:pPr>
                </w:p>
              </w:tc>
            </w:tr>
            <w:tr w:rsidR="00675AB7" w14:paraId="641218B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0F468C" w14:textId="77777777" w:rsidR="00675AB7" w:rsidRDefault="00675AB7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75AB7" w14:paraId="5A6B37F4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675AB7" w14:paraId="6BEE6FA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4BE720" w14:textId="77777777" w:rsidR="00675AB7" w:rsidRDefault="00675AB7">
                        <w:r>
                          <w:rPr>
                            <w:color w:val="000000"/>
                            <w:sz w:val="24"/>
                          </w:rPr>
                          <w:t xml:space="preserve">20.1.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675AB7" w14:paraId="241BA93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3DEF8C" w14:textId="77777777" w:rsidR="00675AB7" w:rsidRDefault="00675AB7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675AB7" w14:paraId="5567A53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36CD1D" w14:textId="77777777" w:rsidR="00675AB7" w:rsidRDefault="00675AB7">
                        <w:r>
                          <w:rPr>
                            <w:color w:val="000000"/>
                            <w:sz w:val="24"/>
                          </w:rPr>
                          <w:t xml:space="preserve">20.3.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675AB7" w14:paraId="57D2103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3A9E28" w14:textId="77777777" w:rsidR="00675AB7" w:rsidRDefault="00675AB7">
                        <w:r>
                          <w:rPr>
                            <w:color w:val="000000"/>
                            <w:sz w:val="24"/>
                          </w:rPr>
                          <w:t xml:space="preserve">20.4.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675AB7" w14:paraId="0C65DBD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C4E3D9" w14:textId="77777777" w:rsidR="00675AB7" w:rsidRDefault="00675AB7">
                        <w:r>
                          <w:rPr>
                            <w:color w:val="000000"/>
                            <w:sz w:val="24"/>
                          </w:rPr>
                          <w:t xml:space="preserve">20.5.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3AAEAE8D" w14:textId="77777777" w:rsidR="00675AB7" w:rsidRDefault="00675AB7"/>
              </w:tc>
            </w:tr>
            <w:tr w:rsidR="00675AB7" w14:paraId="0374F06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4E7896" w14:textId="77777777" w:rsidR="00675AB7" w:rsidRDefault="00675AB7">
                  <w:r>
                    <w:rPr>
                      <w:color w:val="000000"/>
                      <w:sz w:val="24"/>
                    </w:rPr>
                    <w:lastRenderedPageBreak/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75AB7" w14:paraId="7CCCB4E2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675AB7" w14:paraId="1E6232B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368391" w14:textId="77777777" w:rsidR="00675AB7" w:rsidRDefault="00675AB7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konfliktų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675AB7" w14:paraId="10ECE10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402C36" w14:textId="16F5CF06" w:rsidR="00AE2B2D" w:rsidRPr="00AE2B2D" w:rsidRDefault="00675AB7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orientacija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aptarnaujamą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asmenį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6A8148A4" w14:textId="77777777" w:rsidR="00675AB7" w:rsidRDefault="00675AB7"/>
              </w:tc>
            </w:tr>
          </w:tbl>
          <w:p w14:paraId="5444453A" w14:textId="77777777" w:rsidR="00675AB7" w:rsidRDefault="00675AB7"/>
        </w:tc>
      </w:tr>
      <w:tr w:rsidR="00675AB7" w14:paraId="5E8C8843" w14:textId="77777777">
        <w:trPr>
          <w:trHeight w:val="517"/>
        </w:trPr>
        <w:tc>
          <w:tcPr>
            <w:tcW w:w="13" w:type="dxa"/>
          </w:tcPr>
          <w:p w14:paraId="2F521398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7AC682CF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2C95422D" w14:textId="77777777" w:rsidR="00675AB7" w:rsidRDefault="00675AB7">
            <w:pPr>
              <w:pStyle w:val="EmptyLayoutCell"/>
            </w:pPr>
          </w:p>
        </w:tc>
        <w:tc>
          <w:tcPr>
            <w:tcW w:w="9055" w:type="dxa"/>
          </w:tcPr>
          <w:p w14:paraId="75187F4D" w14:textId="77777777" w:rsidR="00675AB7" w:rsidRDefault="00675AB7">
            <w:pPr>
              <w:pStyle w:val="EmptyLayoutCell"/>
            </w:pPr>
          </w:p>
        </w:tc>
        <w:tc>
          <w:tcPr>
            <w:tcW w:w="13" w:type="dxa"/>
          </w:tcPr>
          <w:p w14:paraId="47D8ADB3" w14:textId="77777777" w:rsidR="00675AB7" w:rsidRDefault="00675AB7">
            <w:pPr>
              <w:pStyle w:val="EmptyLayoutCell"/>
            </w:pPr>
          </w:p>
        </w:tc>
      </w:tr>
      <w:tr w:rsidR="00E6305F" w14:paraId="22952427" w14:textId="77777777" w:rsidTr="00E6305F">
        <w:tc>
          <w:tcPr>
            <w:tcW w:w="13" w:type="dxa"/>
          </w:tcPr>
          <w:p w14:paraId="5054632E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506DCAAE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1F054F6D" w14:textId="77777777" w:rsidR="00675AB7" w:rsidRDefault="00675AB7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675AB7" w14:paraId="6B3E7FDE" w14:textId="77777777" w:rsidTr="00E6305F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C4D6C0" w14:textId="77777777" w:rsidR="00675AB7" w:rsidRDefault="00675AB7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6F4888" w14:textId="77777777" w:rsidR="00675AB7" w:rsidRDefault="00675AB7"/>
              </w:tc>
            </w:tr>
            <w:tr w:rsidR="00675AB7" w14:paraId="47045B0C" w14:textId="77777777" w:rsidTr="00E6305F"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BC483B" w14:textId="77777777" w:rsidR="00675AB7" w:rsidRDefault="00675AB7"/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2BDE84" w14:textId="77777777" w:rsidR="00675AB7" w:rsidRDefault="00675AB7"/>
              </w:tc>
            </w:tr>
            <w:tr w:rsidR="00675AB7" w14:paraId="1146BEAE" w14:textId="77777777" w:rsidTr="00E6305F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25C72F" w14:textId="77777777" w:rsidR="00675AB7" w:rsidRDefault="00675AB7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571828" w14:textId="77777777" w:rsidR="00675AB7" w:rsidRDefault="00675AB7"/>
              </w:tc>
            </w:tr>
            <w:tr w:rsidR="00675AB7" w14:paraId="24254CA8" w14:textId="77777777" w:rsidTr="00E6305F"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0DCE55" w14:textId="77777777" w:rsidR="00675AB7" w:rsidRPr="00E6305F" w:rsidRDefault="00E6305F">
                  <w:pPr>
                    <w:rPr>
                      <w:sz w:val="24"/>
                      <w:szCs w:val="24"/>
                    </w:rPr>
                  </w:pPr>
                  <w:r w:rsidRPr="00E6305F">
                    <w:rPr>
                      <w:sz w:val="24"/>
                      <w:szCs w:val="24"/>
                    </w:rPr>
                    <w:t>Nida Kilnienė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B18AC4" w14:textId="77777777" w:rsidR="00675AB7" w:rsidRDefault="00675AB7"/>
              </w:tc>
            </w:tr>
            <w:tr w:rsidR="00675AB7" w14:paraId="4EDD73E2" w14:textId="77777777" w:rsidTr="00E6305F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FA9F80" w14:textId="77777777" w:rsidR="00675AB7" w:rsidRDefault="00675AB7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C5BC81" w14:textId="77777777" w:rsidR="00675AB7" w:rsidRDefault="00E6305F">
                  <w:r>
                    <w:rPr>
                      <w:color w:val="000000"/>
                    </w:rPr>
                    <w:t>(Data)</w:t>
                  </w:r>
                </w:p>
              </w:tc>
            </w:tr>
          </w:tbl>
          <w:p w14:paraId="20B388D5" w14:textId="77777777" w:rsidR="00675AB7" w:rsidRDefault="00675AB7"/>
        </w:tc>
      </w:tr>
      <w:tr w:rsidR="00675AB7" w14:paraId="326B2007" w14:textId="77777777">
        <w:trPr>
          <w:trHeight w:val="41"/>
        </w:trPr>
        <w:tc>
          <w:tcPr>
            <w:tcW w:w="13" w:type="dxa"/>
          </w:tcPr>
          <w:p w14:paraId="4E98BEAA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54D75912" w14:textId="77777777" w:rsidR="00675AB7" w:rsidRDefault="00675AB7">
            <w:pPr>
              <w:pStyle w:val="EmptyLayoutCell"/>
            </w:pPr>
          </w:p>
        </w:tc>
        <w:tc>
          <w:tcPr>
            <w:tcW w:w="1" w:type="dxa"/>
          </w:tcPr>
          <w:p w14:paraId="6480F528" w14:textId="77777777" w:rsidR="00675AB7" w:rsidRDefault="00675AB7">
            <w:pPr>
              <w:pStyle w:val="EmptyLayoutCell"/>
            </w:pPr>
          </w:p>
        </w:tc>
        <w:tc>
          <w:tcPr>
            <w:tcW w:w="9055" w:type="dxa"/>
          </w:tcPr>
          <w:p w14:paraId="4249F5C5" w14:textId="77777777" w:rsidR="00675AB7" w:rsidRDefault="00675AB7">
            <w:pPr>
              <w:pStyle w:val="EmptyLayoutCell"/>
            </w:pPr>
          </w:p>
        </w:tc>
        <w:tc>
          <w:tcPr>
            <w:tcW w:w="13" w:type="dxa"/>
          </w:tcPr>
          <w:p w14:paraId="2A66522C" w14:textId="77777777" w:rsidR="00675AB7" w:rsidRDefault="00675AB7">
            <w:pPr>
              <w:pStyle w:val="EmptyLayoutCell"/>
            </w:pPr>
          </w:p>
        </w:tc>
      </w:tr>
    </w:tbl>
    <w:p w14:paraId="52B86F4E" w14:textId="77777777" w:rsidR="00675AB7" w:rsidRDefault="00675AB7"/>
    <w:sectPr w:rsidR="00675AB7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05F"/>
    <w:rsid w:val="00022429"/>
    <w:rsid w:val="00675AB7"/>
    <w:rsid w:val="00AE2B2D"/>
    <w:rsid w:val="00E6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30380"/>
  <w15:chartTrackingRefBased/>
  <w15:docId w15:val="{4983399C-8FA8-4B73-BB62-8CEBDCA0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4</cp:revision>
  <cp:lastPrinted>2020-07-30T07:45:00Z</cp:lastPrinted>
  <dcterms:created xsi:type="dcterms:W3CDTF">2023-05-08T10:56:00Z</dcterms:created>
  <dcterms:modified xsi:type="dcterms:W3CDTF">2023-05-08T10:59:00Z</dcterms:modified>
</cp:coreProperties>
</file>